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99C" w:rsidRPr="00257F1C" w:rsidRDefault="004C4B96" w:rsidP="00906B2A">
      <w:pPr>
        <w:pStyle w:val="Title"/>
      </w:pPr>
      <w:bookmarkStart w:id="0" w:name="_GoBack"/>
      <w:bookmarkEnd w:id="0"/>
      <w:r w:rsidRPr="00257F1C">
        <w:t xml:space="preserve">Business Associate Agreement </w:t>
      </w:r>
      <w:r w:rsidR="00D3699C" w:rsidRPr="00257F1C">
        <w:t xml:space="preserve">Checklist – Required </w:t>
      </w:r>
      <w:r w:rsidR="00C863AC" w:rsidRPr="00257F1C">
        <w:t xml:space="preserve">and Optional </w:t>
      </w:r>
      <w:r w:rsidR="00D3699C" w:rsidRPr="00257F1C">
        <w:t>Terms</w:t>
      </w:r>
      <w:r w:rsidR="00A72C4F" w:rsidRPr="00257F1C">
        <w:t xml:space="preserve"> </w:t>
      </w:r>
    </w:p>
    <w:p w:rsidR="00A82A86" w:rsidRPr="00257F1C" w:rsidRDefault="00A82A86" w:rsidP="00D3699C">
      <w:pPr>
        <w:autoSpaceDE w:val="0"/>
        <w:autoSpaceDN w:val="0"/>
        <w:adjustRightInd w:val="0"/>
        <w:rPr>
          <w:rFonts w:cs="TimesNewRoman"/>
          <w:i/>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le listing regulatory requirements that must appear in a business associate agreement (&quot;BAA&quot;). Second column has space for notes and the third column has a space to check off the required items."/>
      </w:tblPr>
      <w:tblGrid>
        <w:gridCol w:w="7096"/>
        <w:gridCol w:w="1782"/>
        <w:gridCol w:w="950"/>
      </w:tblGrid>
      <w:tr w:rsidR="00890BB1" w:rsidRPr="00257F1C" w:rsidTr="00902BE8">
        <w:trPr>
          <w:tblHeader/>
        </w:trPr>
        <w:tc>
          <w:tcPr>
            <w:tcW w:w="9828" w:type="dxa"/>
            <w:gridSpan w:val="3"/>
            <w:shd w:val="clear" w:color="auto" w:fill="CCCCCC"/>
          </w:tcPr>
          <w:p w:rsidR="0047583A" w:rsidRPr="00257F1C" w:rsidRDefault="0047583A" w:rsidP="009A6DF1">
            <w:pPr>
              <w:autoSpaceDE w:val="0"/>
              <w:autoSpaceDN w:val="0"/>
              <w:adjustRightInd w:val="0"/>
              <w:jc w:val="center"/>
              <w:rPr>
                <w:b/>
              </w:rPr>
            </w:pPr>
            <w:r w:rsidRPr="00257F1C">
              <w:rPr>
                <w:b/>
              </w:rPr>
              <w:t>Required Terms</w:t>
            </w:r>
          </w:p>
          <w:p w:rsidR="0047583A" w:rsidRPr="00257F1C" w:rsidRDefault="0047583A" w:rsidP="009A6DF1">
            <w:pPr>
              <w:autoSpaceDE w:val="0"/>
              <w:autoSpaceDN w:val="0"/>
              <w:adjustRightInd w:val="0"/>
            </w:pPr>
          </w:p>
          <w:p w:rsidR="0047583A" w:rsidRPr="00257F1C" w:rsidRDefault="0047583A" w:rsidP="009A6DF1">
            <w:pPr>
              <w:autoSpaceDE w:val="0"/>
              <w:autoSpaceDN w:val="0"/>
              <w:adjustRightInd w:val="0"/>
            </w:pPr>
            <w:r w:rsidRPr="00257F1C">
              <w:t xml:space="preserve">The following terms </w:t>
            </w:r>
            <w:r w:rsidRPr="00257F1C">
              <w:rPr>
                <w:b/>
                <w:u w:val="single"/>
              </w:rPr>
              <w:t>must</w:t>
            </w:r>
            <w:r w:rsidRPr="00257F1C">
              <w:t xml:space="preserve"> appear in a Business Associate Agreement</w:t>
            </w:r>
            <w:r w:rsidR="00AA64C8" w:rsidRPr="00257F1C">
              <w:t xml:space="preserve"> (“BAA”)</w:t>
            </w:r>
            <w:r w:rsidRPr="00257F1C">
              <w:t xml:space="preserve">.  </w:t>
            </w:r>
          </w:p>
        </w:tc>
      </w:tr>
      <w:tr w:rsidR="00B90A35" w:rsidRPr="00257F1C" w:rsidTr="00902BE8">
        <w:trPr>
          <w:tblHeader/>
        </w:trPr>
        <w:tc>
          <w:tcPr>
            <w:tcW w:w="7128" w:type="dxa"/>
            <w:shd w:val="clear" w:color="auto" w:fill="E6E6E6"/>
          </w:tcPr>
          <w:p w:rsidR="0047583A" w:rsidRPr="00257F1C" w:rsidRDefault="0047583A" w:rsidP="0047583A">
            <w:pPr>
              <w:autoSpaceDE w:val="0"/>
              <w:autoSpaceDN w:val="0"/>
              <w:adjustRightInd w:val="0"/>
              <w:rPr>
                <w:rFonts w:cs="TimesNewRoman"/>
                <w:b/>
                <w:u w:val="single"/>
              </w:rPr>
            </w:pPr>
            <w:r w:rsidRPr="00257F1C">
              <w:rPr>
                <w:rFonts w:cs="TimesNewRoman"/>
                <w:b/>
                <w:u w:val="single"/>
              </w:rPr>
              <w:t>Regulatory Requirements</w:t>
            </w:r>
          </w:p>
        </w:tc>
        <w:tc>
          <w:tcPr>
            <w:tcW w:w="1790" w:type="dxa"/>
            <w:shd w:val="clear" w:color="auto" w:fill="E6E6E6"/>
          </w:tcPr>
          <w:p w:rsidR="00B90A35" w:rsidRPr="00902BE8" w:rsidRDefault="00812C82" w:rsidP="00D24747">
            <w:pPr>
              <w:autoSpaceDE w:val="0"/>
              <w:autoSpaceDN w:val="0"/>
              <w:adjustRightInd w:val="0"/>
              <w:rPr>
                <w:rFonts w:cs="TimesNewRoman"/>
                <w:b/>
              </w:rPr>
            </w:pPr>
            <w:r w:rsidRPr="00902BE8">
              <w:rPr>
                <w:rFonts w:cs="TimesNewRoman"/>
                <w:b/>
              </w:rPr>
              <w:t>Notes</w:t>
            </w:r>
          </w:p>
        </w:tc>
        <w:tc>
          <w:tcPr>
            <w:tcW w:w="910" w:type="dxa"/>
            <w:shd w:val="clear" w:color="auto" w:fill="E6E6E6"/>
          </w:tcPr>
          <w:p w:rsidR="00B90A35" w:rsidRPr="00902BE8" w:rsidRDefault="00B90A35" w:rsidP="00D24747">
            <w:pPr>
              <w:autoSpaceDE w:val="0"/>
              <w:autoSpaceDN w:val="0"/>
              <w:adjustRightInd w:val="0"/>
              <w:rPr>
                <w:rFonts w:cs="TimesNewRoman"/>
                <w:b/>
              </w:rPr>
            </w:pPr>
            <w:r w:rsidRPr="00902BE8">
              <w:rPr>
                <w:rFonts w:cs="TimesNewRoman"/>
                <w:b/>
              </w:rPr>
              <w:t>Check-off</w:t>
            </w:r>
          </w:p>
        </w:tc>
      </w:tr>
      <w:tr w:rsidR="00B90A35" w:rsidRPr="00257F1C" w:rsidTr="00D24747">
        <w:tc>
          <w:tcPr>
            <w:tcW w:w="7128" w:type="dxa"/>
            <w:tcBorders>
              <w:bottom w:val="single" w:sz="4" w:space="0" w:color="auto"/>
            </w:tcBorders>
            <w:shd w:val="clear" w:color="auto" w:fill="auto"/>
          </w:tcPr>
          <w:p w:rsidR="00B90A35" w:rsidRPr="00257F1C" w:rsidRDefault="00B90A35" w:rsidP="00AA64C8">
            <w:pPr>
              <w:autoSpaceDE w:val="0"/>
              <w:autoSpaceDN w:val="0"/>
              <w:adjustRightInd w:val="0"/>
              <w:rPr>
                <w:rFonts w:cs="TimesNewRoman"/>
              </w:rPr>
            </w:pPr>
            <w:r w:rsidRPr="00257F1C">
              <w:rPr>
                <w:rFonts w:cs="TimesNewRoman"/>
              </w:rPr>
              <w:t>164.502(e)</w:t>
            </w:r>
            <w:r w:rsidR="00A15A01">
              <w:rPr>
                <w:rFonts w:cs="TimesNewRoman"/>
              </w:rPr>
              <w:t>(1)</w:t>
            </w:r>
            <w:r w:rsidR="002D3205">
              <w:rPr>
                <w:rFonts w:cs="TimesNewRoman"/>
              </w:rPr>
              <w:t>(</w:t>
            </w:r>
            <w:proofErr w:type="spellStart"/>
            <w:r w:rsidR="002D3205">
              <w:rPr>
                <w:rFonts w:cs="TimesNewRoman"/>
              </w:rPr>
              <w:t>i</w:t>
            </w:r>
            <w:proofErr w:type="spellEnd"/>
            <w:r w:rsidR="002D3205">
              <w:rPr>
                <w:rFonts w:cs="TimesNewRoman"/>
              </w:rPr>
              <w:t>)</w:t>
            </w:r>
            <w:r w:rsidRPr="00257F1C">
              <w:rPr>
                <w:rFonts w:cs="TimesNewRoman"/>
              </w:rPr>
              <w:t xml:space="preserve">:  </w:t>
            </w:r>
            <w:r w:rsidRPr="00257F1C">
              <w:rPr>
                <w:rFonts w:cs="TimesNewRoman"/>
                <w:b/>
              </w:rPr>
              <w:t>Basic Principle</w:t>
            </w:r>
            <w:r w:rsidR="00FA4E5A" w:rsidRPr="00257F1C">
              <w:rPr>
                <w:rFonts w:cs="TimesNewRoman"/>
              </w:rPr>
              <w:t>:  A Covered E</w:t>
            </w:r>
            <w:r w:rsidRPr="00257F1C">
              <w:rPr>
                <w:rFonts w:cs="TimesNewRoman"/>
              </w:rPr>
              <w:t xml:space="preserve">ntity </w:t>
            </w:r>
            <w:r w:rsidR="00FA4E5A" w:rsidRPr="00257F1C">
              <w:rPr>
                <w:rFonts w:cs="TimesNewRoman"/>
              </w:rPr>
              <w:t>(“CE”) may disclose Protected Health I</w:t>
            </w:r>
            <w:r w:rsidRPr="00257F1C">
              <w:rPr>
                <w:rFonts w:cs="TimesNewRoman"/>
              </w:rPr>
              <w:t xml:space="preserve">nformation </w:t>
            </w:r>
            <w:r w:rsidR="00FA4E5A" w:rsidRPr="00257F1C">
              <w:rPr>
                <w:rFonts w:cs="TimesNewRoman"/>
              </w:rPr>
              <w:t xml:space="preserve">(“PHI”) </w:t>
            </w:r>
            <w:r w:rsidRPr="00257F1C">
              <w:rPr>
                <w:rFonts w:cs="TimesNewRoman"/>
              </w:rPr>
              <w:t xml:space="preserve">to a business associate </w:t>
            </w:r>
            <w:r w:rsidR="00FA4E5A" w:rsidRPr="00257F1C">
              <w:rPr>
                <w:rFonts w:cs="TimesNewRoman"/>
              </w:rPr>
              <w:t xml:space="preserve">(“BA”) </w:t>
            </w:r>
            <w:r w:rsidRPr="00257F1C">
              <w:rPr>
                <w:rFonts w:cs="TimesNewRoman"/>
              </w:rPr>
              <w:t>and may allow</w:t>
            </w:r>
            <w:r w:rsidR="00FB1FA9" w:rsidRPr="00257F1C">
              <w:rPr>
                <w:rFonts w:cs="TimesNewRoman"/>
              </w:rPr>
              <w:t xml:space="preserve"> a business associate to create, </w:t>
            </w:r>
            <w:r w:rsidRPr="00257F1C">
              <w:rPr>
                <w:rFonts w:cs="TimesNewRoman"/>
              </w:rPr>
              <w:t>receive</w:t>
            </w:r>
            <w:r w:rsidR="00FB1FA9" w:rsidRPr="00257F1C">
              <w:rPr>
                <w:rFonts w:cs="TimesNewRoman"/>
              </w:rPr>
              <w:t>, maintain or transmit</w:t>
            </w:r>
            <w:r w:rsidRPr="00257F1C">
              <w:rPr>
                <w:rFonts w:cs="TimesNewRoman"/>
              </w:rPr>
              <w:t xml:space="preserve"> </w:t>
            </w:r>
            <w:r w:rsidR="00AA64C8" w:rsidRPr="00257F1C">
              <w:rPr>
                <w:rFonts w:cs="TimesNewRoman"/>
              </w:rPr>
              <w:t>PHI</w:t>
            </w:r>
            <w:r w:rsidR="00FB1FA9" w:rsidRPr="00257F1C">
              <w:rPr>
                <w:rFonts w:cs="TimesNewRoman"/>
              </w:rPr>
              <w:t xml:space="preserve"> </w:t>
            </w:r>
            <w:r w:rsidRPr="00257F1C">
              <w:rPr>
                <w:rFonts w:cs="TimesNewRoman"/>
              </w:rPr>
              <w:t>on its behalf</w:t>
            </w:r>
            <w:r w:rsidR="00B91BF8" w:rsidRPr="00257F1C">
              <w:rPr>
                <w:rFonts w:cs="TimesNewRoman"/>
              </w:rPr>
              <w:t xml:space="preserve"> so long as a BAA is in place.</w:t>
            </w:r>
          </w:p>
        </w:tc>
        <w:tc>
          <w:tcPr>
            <w:tcW w:w="1790" w:type="dxa"/>
            <w:tcBorders>
              <w:bottom w:val="single" w:sz="4" w:space="0" w:color="auto"/>
            </w:tcBorders>
            <w:shd w:val="clear" w:color="auto" w:fill="auto"/>
          </w:tcPr>
          <w:p w:rsidR="00B90A35" w:rsidRPr="00257F1C" w:rsidRDefault="00B90A35" w:rsidP="00D24747">
            <w:pPr>
              <w:autoSpaceDE w:val="0"/>
              <w:autoSpaceDN w:val="0"/>
              <w:adjustRightInd w:val="0"/>
              <w:rPr>
                <w:rFonts w:cs="TimesNewRoman"/>
              </w:rPr>
            </w:pPr>
          </w:p>
        </w:tc>
        <w:tc>
          <w:tcPr>
            <w:tcW w:w="910" w:type="dxa"/>
            <w:tcBorders>
              <w:bottom w:val="single" w:sz="4" w:space="0" w:color="auto"/>
            </w:tcBorders>
            <w:shd w:val="clear" w:color="auto" w:fill="auto"/>
          </w:tcPr>
          <w:p w:rsidR="00B90A35" w:rsidRPr="00257F1C" w:rsidRDefault="00B90A35" w:rsidP="00D24747">
            <w:pPr>
              <w:autoSpaceDE w:val="0"/>
              <w:autoSpaceDN w:val="0"/>
              <w:adjustRightInd w:val="0"/>
              <w:rPr>
                <w:rFonts w:cs="TimesNewRoman"/>
              </w:rPr>
            </w:pPr>
          </w:p>
        </w:tc>
      </w:tr>
      <w:tr w:rsidR="00B90A35" w:rsidRPr="00257F1C" w:rsidTr="00D24747">
        <w:tc>
          <w:tcPr>
            <w:tcW w:w="7128" w:type="dxa"/>
            <w:shd w:val="clear" w:color="auto" w:fill="E6E6E6"/>
          </w:tcPr>
          <w:p w:rsidR="00B90A35" w:rsidRPr="00257F1C" w:rsidRDefault="00B90A35" w:rsidP="00D24747">
            <w:pPr>
              <w:autoSpaceDE w:val="0"/>
              <w:autoSpaceDN w:val="0"/>
              <w:adjustRightInd w:val="0"/>
              <w:rPr>
                <w:rFonts w:cs="TimesNewRoman"/>
              </w:rPr>
            </w:pPr>
            <w:r w:rsidRPr="00257F1C">
              <w:rPr>
                <w:rFonts w:cs="TimesNewRoman"/>
              </w:rPr>
              <w:t>164.504(e)</w:t>
            </w:r>
            <w:r w:rsidR="00F96AF2" w:rsidRPr="00257F1C">
              <w:rPr>
                <w:rFonts w:cs="TimesNewRoman"/>
              </w:rPr>
              <w:t>(2)</w:t>
            </w:r>
            <w:r w:rsidRPr="00257F1C">
              <w:rPr>
                <w:rFonts w:cs="TimesNewRoman"/>
              </w:rPr>
              <w:t>:</w:t>
            </w:r>
          </w:p>
        </w:tc>
        <w:tc>
          <w:tcPr>
            <w:tcW w:w="1790" w:type="dxa"/>
            <w:shd w:val="clear" w:color="auto" w:fill="E6E6E6"/>
          </w:tcPr>
          <w:p w:rsidR="00B90A35" w:rsidRPr="00902BE8" w:rsidRDefault="004C0C39" w:rsidP="00D24747">
            <w:pPr>
              <w:autoSpaceDE w:val="0"/>
              <w:autoSpaceDN w:val="0"/>
              <w:adjustRightInd w:val="0"/>
              <w:rPr>
                <w:rFonts w:cs="TimesNewRoman"/>
                <w:b/>
              </w:rPr>
            </w:pPr>
            <w:r w:rsidRPr="00902BE8">
              <w:rPr>
                <w:rFonts w:cs="TimesNewRoman"/>
                <w:b/>
              </w:rPr>
              <w:t>Notes</w:t>
            </w:r>
          </w:p>
        </w:tc>
        <w:tc>
          <w:tcPr>
            <w:tcW w:w="910" w:type="dxa"/>
            <w:shd w:val="clear" w:color="auto" w:fill="E6E6E6"/>
          </w:tcPr>
          <w:p w:rsidR="00B90A35" w:rsidRPr="00902BE8" w:rsidRDefault="004C0C39" w:rsidP="00D24747">
            <w:pPr>
              <w:autoSpaceDE w:val="0"/>
              <w:autoSpaceDN w:val="0"/>
              <w:adjustRightInd w:val="0"/>
              <w:rPr>
                <w:rFonts w:cs="TimesNewRoman"/>
                <w:b/>
              </w:rPr>
            </w:pPr>
            <w:r w:rsidRPr="00902BE8">
              <w:rPr>
                <w:rFonts w:cs="TimesNewRoman"/>
                <w:b/>
              </w:rPr>
              <w:t>Check-off</w:t>
            </w:r>
          </w:p>
        </w:tc>
      </w:tr>
      <w:tr w:rsidR="00B90A35" w:rsidRPr="00257F1C" w:rsidTr="00D24747">
        <w:tc>
          <w:tcPr>
            <w:tcW w:w="7128" w:type="dxa"/>
            <w:shd w:val="clear" w:color="auto" w:fill="auto"/>
          </w:tcPr>
          <w:p w:rsidR="00B90A35" w:rsidRPr="00257F1C" w:rsidRDefault="00B90A35" w:rsidP="00AB2DE4">
            <w:pPr>
              <w:autoSpaceDE w:val="0"/>
              <w:autoSpaceDN w:val="0"/>
              <w:adjustRightInd w:val="0"/>
              <w:rPr>
                <w:rFonts w:cs="TimesNewRoman"/>
              </w:rPr>
            </w:pPr>
            <w:r w:rsidRPr="00257F1C">
              <w:rPr>
                <w:rFonts w:cs="TimesNewRoman"/>
              </w:rPr>
              <w:t>(</w:t>
            </w:r>
            <w:proofErr w:type="spellStart"/>
            <w:proofErr w:type="gramStart"/>
            <w:r w:rsidRPr="00257F1C">
              <w:rPr>
                <w:rFonts w:cs="TimesNewRoman"/>
              </w:rPr>
              <w:t>i</w:t>
            </w:r>
            <w:proofErr w:type="spellEnd"/>
            <w:proofErr w:type="gramEnd"/>
            <w:r w:rsidRPr="00257F1C">
              <w:rPr>
                <w:rFonts w:cs="TimesNewRoman"/>
              </w:rPr>
              <w:t xml:space="preserve">) </w:t>
            </w:r>
            <w:r w:rsidR="008049AE" w:rsidRPr="00257F1C">
              <w:rPr>
                <w:rFonts w:cs="TimesNewRoman"/>
                <w:b/>
              </w:rPr>
              <w:t>Identify – By Listing or Referring to Services Agreement:</w:t>
            </w:r>
            <w:r w:rsidR="008049AE" w:rsidRPr="00257F1C">
              <w:rPr>
                <w:rFonts w:cs="TimesNewRoman"/>
              </w:rPr>
              <w:t xml:space="preserve">  </w:t>
            </w:r>
            <w:r w:rsidRPr="00257F1C">
              <w:rPr>
                <w:rFonts w:cs="TimesNewRoman"/>
              </w:rPr>
              <w:t xml:space="preserve">Establish the permitted and required uses and disclosures of </w:t>
            </w:r>
            <w:r w:rsidR="00AB2DE4">
              <w:rPr>
                <w:rFonts w:cs="TimesNewRoman"/>
              </w:rPr>
              <w:t xml:space="preserve">PHI </w:t>
            </w:r>
            <w:r w:rsidRPr="00257F1C">
              <w:rPr>
                <w:rFonts w:cs="TimesNewRoman"/>
              </w:rPr>
              <w:t xml:space="preserve">by the </w:t>
            </w:r>
            <w:r w:rsidR="00FA4E5A" w:rsidRPr="00257F1C">
              <w:rPr>
                <w:rFonts w:cs="TimesNewRoman"/>
              </w:rPr>
              <w:t>BA</w:t>
            </w:r>
            <w:r w:rsidRPr="00257F1C">
              <w:rPr>
                <w:rFonts w:cs="TimesNewRoman"/>
              </w:rPr>
              <w:t xml:space="preserve">. </w:t>
            </w:r>
          </w:p>
        </w:tc>
        <w:tc>
          <w:tcPr>
            <w:tcW w:w="1790" w:type="dxa"/>
            <w:shd w:val="clear" w:color="auto" w:fill="auto"/>
          </w:tcPr>
          <w:p w:rsidR="00B90A35" w:rsidRPr="00257F1C" w:rsidRDefault="00B90A35" w:rsidP="00D24747">
            <w:pPr>
              <w:autoSpaceDE w:val="0"/>
              <w:autoSpaceDN w:val="0"/>
              <w:adjustRightInd w:val="0"/>
              <w:rPr>
                <w:rFonts w:cs="TimesNewRoman"/>
              </w:rPr>
            </w:pPr>
          </w:p>
        </w:tc>
        <w:tc>
          <w:tcPr>
            <w:tcW w:w="910" w:type="dxa"/>
            <w:shd w:val="clear" w:color="auto" w:fill="auto"/>
          </w:tcPr>
          <w:p w:rsidR="00B90A35" w:rsidRPr="00257F1C" w:rsidRDefault="00B90A35" w:rsidP="00D24747">
            <w:pPr>
              <w:autoSpaceDE w:val="0"/>
              <w:autoSpaceDN w:val="0"/>
              <w:adjustRightInd w:val="0"/>
              <w:rPr>
                <w:rFonts w:cs="TimesNewRoman"/>
              </w:rPr>
            </w:pPr>
          </w:p>
        </w:tc>
      </w:tr>
      <w:tr w:rsidR="00B90A35" w:rsidRPr="00257F1C" w:rsidTr="00D24747">
        <w:tc>
          <w:tcPr>
            <w:tcW w:w="7128" w:type="dxa"/>
            <w:shd w:val="clear" w:color="auto" w:fill="auto"/>
          </w:tcPr>
          <w:p w:rsidR="00B90A35" w:rsidRPr="00257F1C" w:rsidRDefault="008049AE" w:rsidP="00AE742F">
            <w:pPr>
              <w:autoSpaceDE w:val="0"/>
              <w:autoSpaceDN w:val="0"/>
              <w:adjustRightInd w:val="0"/>
              <w:rPr>
                <w:rFonts w:cs="TimesNewRoman"/>
              </w:rPr>
            </w:pPr>
            <w:r w:rsidRPr="00257F1C">
              <w:rPr>
                <w:rFonts w:cs="TimesNewRoman"/>
                <w:b/>
              </w:rPr>
              <w:t>BA Can’t do what CE Can’t</w:t>
            </w:r>
            <w:r w:rsidR="00AE742F" w:rsidRPr="00257F1C">
              <w:rPr>
                <w:rFonts w:cs="TimesNewRoman"/>
                <w:b/>
              </w:rPr>
              <w:t xml:space="preserve"> do</w:t>
            </w:r>
            <w:r w:rsidRPr="00257F1C">
              <w:rPr>
                <w:rFonts w:cs="TimesNewRoman"/>
                <w:b/>
              </w:rPr>
              <w:t>:</w:t>
            </w:r>
            <w:r w:rsidRPr="00257F1C">
              <w:rPr>
                <w:rFonts w:cs="TimesNewRoman"/>
              </w:rPr>
              <w:t xml:space="preserve">  </w:t>
            </w:r>
            <w:r w:rsidR="00B90A35" w:rsidRPr="00257F1C">
              <w:rPr>
                <w:rFonts w:cs="TimesNewRoman"/>
              </w:rPr>
              <w:t xml:space="preserve">The contract may not authorize the </w:t>
            </w:r>
            <w:r w:rsidR="00FA4E5A" w:rsidRPr="00257F1C">
              <w:rPr>
                <w:rFonts w:cs="TimesNewRoman"/>
              </w:rPr>
              <w:t xml:space="preserve">BA </w:t>
            </w:r>
            <w:r w:rsidR="00B90A35" w:rsidRPr="00257F1C">
              <w:rPr>
                <w:rFonts w:cs="TimesNewRoman"/>
              </w:rPr>
              <w:t xml:space="preserve">to use or further disclose the information in a manner that would violate the requirements of this subpart, if done by the </w:t>
            </w:r>
            <w:r w:rsidR="00FA4E5A" w:rsidRPr="00257F1C">
              <w:rPr>
                <w:rFonts w:cs="TimesNewRoman"/>
              </w:rPr>
              <w:t>CE</w:t>
            </w:r>
            <w:r w:rsidR="00B90A35" w:rsidRPr="00257F1C">
              <w:rPr>
                <w:rFonts w:cs="TimesNewRoman"/>
              </w:rPr>
              <w:t xml:space="preserve">, except </w:t>
            </w:r>
            <w:r w:rsidR="00AE742F" w:rsidRPr="00257F1C">
              <w:rPr>
                <w:rFonts w:cs="TimesNewRoman"/>
              </w:rPr>
              <w:t>for the optional management/administration and data aggregation provisions listed in the “Optional Terms” section of this checklist.</w:t>
            </w:r>
          </w:p>
        </w:tc>
        <w:tc>
          <w:tcPr>
            <w:tcW w:w="1790" w:type="dxa"/>
            <w:shd w:val="clear" w:color="auto" w:fill="auto"/>
          </w:tcPr>
          <w:p w:rsidR="00B90A35" w:rsidRPr="00257F1C" w:rsidRDefault="00B90A35" w:rsidP="00D24747">
            <w:pPr>
              <w:autoSpaceDE w:val="0"/>
              <w:autoSpaceDN w:val="0"/>
              <w:adjustRightInd w:val="0"/>
              <w:rPr>
                <w:rFonts w:cs="TimesNewRoman"/>
              </w:rPr>
            </w:pPr>
          </w:p>
        </w:tc>
        <w:tc>
          <w:tcPr>
            <w:tcW w:w="910" w:type="dxa"/>
            <w:shd w:val="clear" w:color="auto" w:fill="auto"/>
          </w:tcPr>
          <w:p w:rsidR="00B90A35" w:rsidRPr="00257F1C" w:rsidRDefault="00B90A35" w:rsidP="00D24747">
            <w:pPr>
              <w:autoSpaceDE w:val="0"/>
              <w:autoSpaceDN w:val="0"/>
              <w:adjustRightInd w:val="0"/>
              <w:rPr>
                <w:rFonts w:cs="TimesNewRoman"/>
              </w:rPr>
            </w:pPr>
          </w:p>
        </w:tc>
      </w:tr>
      <w:tr w:rsidR="00B90A35" w:rsidRPr="00257F1C" w:rsidTr="00D24747">
        <w:tc>
          <w:tcPr>
            <w:tcW w:w="7128" w:type="dxa"/>
            <w:shd w:val="clear" w:color="auto" w:fill="E6E6E6"/>
          </w:tcPr>
          <w:p w:rsidR="00B90A35" w:rsidRPr="00257F1C" w:rsidRDefault="00B90A35" w:rsidP="00C85B91">
            <w:pPr>
              <w:autoSpaceDE w:val="0"/>
              <w:autoSpaceDN w:val="0"/>
              <w:adjustRightInd w:val="0"/>
              <w:rPr>
                <w:rFonts w:cs="TimesNewRoman"/>
              </w:rPr>
            </w:pPr>
            <w:r w:rsidRPr="00257F1C">
              <w:rPr>
                <w:rFonts w:cs="TimesNewRoman"/>
              </w:rPr>
              <w:t>(ii) Provide that the</w:t>
            </w:r>
            <w:r w:rsidR="00C85B91" w:rsidRPr="00257F1C">
              <w:rPr>
                <w:rFonts w:cs="TimesNewRoman"/>
              </w:rPr>
              <w:t xml:space="preserve"> BA</w:t>
            </w:r>
            <w:r w:rsidRPr="00257F1C">
              <w:rPr>
                <w:rFonts w:cs="TimesNewRoman"/>
              </w:rPr>
              <w:t xml:space="preserve"> will:</w:t>
            </w:r>
          </w:p>
        </w:tc>
        <w:tc>
          <w:tcPr>
            <w:tcW w:w="1790" w:type="dxa"/>
            <w:shd w:val="clear" w:color="auto" w:fill="E6E6E6"/>
          </w:tcPr>
          <w:p w:rsidR="00B90A35" w:rsidRPr="00902BE8" w:rsidRDefault="004C0C39" w:rsidP="00D24747">
            <w:pPr>
              <w:autoSpaceDE w:val="0"/>
              <w:autoSpaceDN w:val="0"/>
              <w:adjustRightInd w:val="0"/>
              <w:rPr>
                <w:rFonts w:cs="TimesNewRoman"/>
                <w:b/>
              </w:rPr>
            </w:pPr>
            <w:r w:rsidRPr="00902BE8">
              <w:rPr>
                <w:rFonts w:cs="TimesNewRoman"/>
                <w:b/>
              </w:rPr>
              <w:t>Notes</w:t>
            </w:r>
          </w:p>
        </w:tc>
        <w:tc>
          <w:tcPr>
            <w:tcW w:w="910" w:type="dxa"/>
            <w:shd w:val="clear" w:color="auto" w:fill="E6E6E6"/>
          </w:tcPr>
          <w:p w:rsidR="00B90A35" w:rsidRPr="00902BE8" w:rsidRDefault="004C0C39" w:rsidP="00D24747">
            <w:pPr>
              <w:autoSpaceDE w:val="0"/>
              <w:autoSpaceDN w:val="0"/>
              <w:adjustRightInd w:val="0"/>
              <w:rPr>
                <w:rFonts w:cs="TimesNewRoman"/>
                <w:b/>
              </w:rPr>
            </w:pPr>
            <w:r w:rsidRPr="00902BE8">
              <w:rPr>
                <w:rFonts w:cs="TimesNewRoman"/>
                <w:b/>
              </w:rPr>
              <w:t>Check-off</w:t>
            </w:r>
          </w:p>
        </w:tc>
      </w:tr>
      <w:tr w:rsidR="00B90A35" w:rsidRPr="00257F1C" w:rsidTr="00D24747">
        <w:tc>
          <w:tcPr>
            <w:tcW w:w="7128" w:type="dxa"/>
            <w:shd w:val="clear" w:color="auto" w:fill="auto"/>
          </w:tcPr>
          <w:p w:rsidR="00B90A35" w:rsidRPr="00257F1C" w:rsidRDefault="00B90A35" w:rsidP="00D24747">
            <w:pPr>
              <w:autoSpaceDE w:val="0"/>
              <w:autoSpaceDN w:val="0"/>
              <w:adjustRightInd w:val="0"/>
              <w:rPr>
                <w:rFonts w:cs="TimesNewRoman"/>
              </w:rPr>
            </w:pPr>
            <w:r w:rsidRPr="00257F1C">
              <w:rPr>
                <w:rFonts w:cs="TimesNewRoman"/>
              </w:rPr>
              <w:t xml:space="preserve">(A) </w:t>
            </w:r>
            <w:r w:rsidR="0035762B" w:rsidRPr="00257F1C">
              <w:rPr>
                <w:rFonts w:cs="TimesNewRoman"/>
                <w:b/>
              </w:rPr>
              <w:t xml:space="preserve">Use/Disclose: </w:t>
            </w:r>
            <w:r w:rsidRPr="00257F1C">
              <w:rPr>
                <w:rFonts w:cs="TimesNewRoman"/>
              </w:rPr>
              <w:t>Not use or further disclose the information other than as permitted or required by the contract or as required</w:t>
            </w:r>
            <w:r w:rsidR="00AA64C8" w:rsidRPr="00257F1C">
              <w:rPr>
                <w:rFonts w:cs="TimesNewRoman"/>
              </w:rPr>
              <w:t xml:space="preserve"> by law.</w:t>
            </w:r>
          </w:p>
        </w:tc>
        <w:tc>
          <w:tcPr>
            <w:tcW w:w="1790" w:type="dxa"/>
            <w:shd w:val="clear" w:color="auto" w:fill="auto"/>
          </w:tcPr>
          <w:p w:rsidR="00B90A35" w:rsidRPr="00257F1C" w:rsidRDefault="00B90A35" w:rsidP="00D24747">
            <w:pPr>
              <w:autoSpaceDE w:val="0"/>
              <w:autoSpaceDN w:val="0"/>
              <w:adjustRightInd w:val="0"/>
              <w:rPr>
                <w:rFonts w:cs="TimesNewRoman"/>
              </w:rPr>
            </w:pPr>
          </w:p>
        </w:tc>
        <w:tc>
          <w:tcPr>
            <w:tcW w:w="910" w:type="dxa"/>
            <w:shd w:val="clear" w:color="auto" w:fill="auto"/>
          </w:tcPr>
          <w:p w:rsidR="00B90A35" w:rsidRPr="00257F1C" w:rsidRDefault="00B90A35" w:rsidP="00D24747">
            <w:pPr>
              <w:autoSpaceDE w:val="0"/>
              <w:autoSpaceDN w:val="0"/>
              <w:adjustRightInd w:val="0"/>
              <w:rPr>
                <w:rFonts w:cs="TimesNewRoman"/>
              </w:rPr>
            </w:pPr>
          </w:p>
        </w:tc>
      </w:tr>
      <w:tr w:rsidR="00B90A35" w:rsidRPr="00257F1C" w:rsidTr="00D24747">
        <w:tc>
          <w:tcPr>
            <w:tcW w:w="7128" w:type="dxa"/>
            <w:shd w:val="clear" w:color="auto" w:fill="auto"/>
          </w:tcPr>
          <w:p w:rsidR="00B90A35" w:rsidRPr="00257F1C" w:rsidRDefault="00B90A35" w:rsidP="00C85B91">
            <w:pPr>
              <w:autoSpaceDE w:val="0"/>
              <w:autoSpaceDN w:val="0"/>
              <w:adjustRightInd w:val="0"/>
              <w:rPr>
                <w:rFonts w:cs="TimesNewRoman"/>
              </w:rPr>
            </w:pPr>
            <w:r w:rsidRPr="00257F1C">
              <w:rPr>
                <w:rFonts w:cs="TimesNewRoman"/>
              </w:rPr>
              <w:t xml:space="preserve">(B) </w:t>
            </w:r>
            <w:r w:rsidR="00594600" w:rsidRPr="00257F1C">
              <w:rPr>
                <w:rFonts w:cs="TimesNewRoman"/>
                <w:b/>
              </w:rPr>
              <w:t>Safeguards:</w:t>
            </w:r>
            <w:r w:rsidR="00594600" w:rsidRPr="00257F1C">
              <w:rPr>
                <w:rFonts w:cs="TimesNewRoman"/>
              </w:rPr>
              <w:t xml:space="preserve"> </w:t>
            </w:r>
            <w:r w:rsidRPr="00257F1C">
              <w:rPr>
                <w:rFonts w:cs="TimesNewRoman"/>
              </w:rPr>
              <w:t xml:space="preserve">Use appropriate safeguards </w:t>
            </w:r>
            <w:r w:rsidR="00C85B91" w:rsidRPr="00257F1C">
              <w:rPr>
                <w:rFonts w:cs="TimesNewRoman"/>
              </w:rPr>
              <w:t xml:space="preserve">and comply, where applicable, with the HIPAA Security Rule (Subpart C of 45 C.F.R. Part 164) with respect to </w:t>
            </w:r>
            <w:r w:rsidR="00A82A86" w:rsidRPr="00257F1C">
              <w:rPr>
                <w:rFonts w:cs="TimesNewRoman"/>
              </w:rPr>
              <w:t>Electron</w:t>
            </w:r>
            <w:r w:rsidR="00C85B91" w:rsidRPr="00257F1C">
              <w:rPr>
                <w:rFonts w:cs="TimesNewRoman"/>
              </w:rPr>
              <w:t>ic PHI, to prevent use/disclosure of information other than as provided for by the BAA</w:t>
            </w:r>
            <w:r w:rsidR="00A82A86" w:rsidRPr="00257F1C">
              <w:rPr>
                <w:rFonts w:cs="TimesNewRoman"/>
              </w:rPr>
              <w:t xml:space="preserve">. </w:t>
            </w:r>
          </w:p>
        </w:tc>
        <w:tc>
          <w:tcPr>
            <w:tcW w:w="1790" w:type="dxa"/>
            <w:shd w:val="clear" w:color="auto" w:fill="auto"/>
          </w:tcPr>
          <w:p w:rsidR="00B90A35" w:rsidRPr="00257F1C" w:rsidRDefault="00B90A35" w:rsidP="00D24747">
            <w:pPr>
              <w:autoSpaceDE w:val="0"/>
              <w:autoSpaceDN w:val="0"/>
              <w:adjustRightInd w:val="0"/>
              <w:rPr>
                <w:rFonts w:cs="TimesNewRoman"/>
              </w:rPr>
            </w:pPr>
          </w:p>
        </w:tc>
        <w:tc>
          <w:tcPr>
            <w:tcW w:w="910" w:type="dxa"/>
            <w:shd w:val="clear" w:color="auto" w:fill="auto"/>
          </w:tcPr>
          <w:p w:rsidR="00B90A35" w:rsidRPr="00257F1C" w:rsidRDefault="00B90A35" w:rsidP="00D24747">
            <w:pPr>
              <w:autoSpaceDE w:val="0"/>
              <w:autoSpaceDN w:val="0"/>
              <w:adjustRightInd w:val="0"/>
              <w:rPr>
                <w:rFonts w:cs="TimesNewRoman"/>
              </w:rPr>
            </w:pPr>
          </w:p>
        </w:tc>
      </w:tr>
      <w:tr w:rsidR="00B90A35" w:rsidRPr="00257F1C" w:rsidTr="00D24747">
        <w:tc>
          <w:tcPr>
            <w:tcW w:w="7128" w:type="dxa"/>
            <w:shd w:val="clear" w:color="auto" w:fill="auto"/>
          </w:tcPr>
          <w:p w:rsidR="00B90A35" w:rsidRPr="00257F1C" w:rsidRDefault="00B90A35" w:rsidP="00A836CD">
            <w:pPr>
              <w:autoSpaceDE w:val="0"/>
              <w:autoSpaceDN w:val="0"/>
              <w:adjustRightInd w:val="0"/>
              <w:rPr>
                <w:rFonts w:cs="TimesNewRoman"/>
              </w:rPr>
            </w:pPr>
            <w:r w:rsidRPr="00257F1C">
              <w:rPr>
                <w:rFonts w:cs="TimesNewRoman"/>
              </w:rPr>
              <w:t xml:space="preserve">(C) </w:t>
            </w:r>
            <w:r w:rsidR="0035762B" w:rsidRPr="00257F1C">
              <w:rPr>
                <w:rFonts w:cs="TimesNewRoman"/>
                <w:b/>
              </w:rPr>
              <w:t xml:space="preserve">Reports/Breach: </w:t>
            </w:r>
            <w:r w:rsidRPr="00257F1C">
              <w:rPr>
                <w:rFonts w:cs="TimesNewRoman"/>
              </w:rPr>
              <w:t xml:space="preserve">Report to the </w:t>
            </w:r>
            <w:r w:rsidR="00C85B91" w:rsidRPr="00257F1C">
              <w:rPr>
                <w:rFonts w:cs="TimesNewRoman"/>
              </w:rPr>
              <w:t xml:space="preserve">CE </w:t>
            </w:r>
            <w:r w:rsidRPr="00257F1C">
              <w:rPr>
                <w:rFonts w:cs="TimesNewRoman"/>
              </w:rPr>
              <w:t>any use or disclosure of the information not provided for by its contract</w:t>
            </w:r>
            <w:r w:rsidR="00A82A86" w:rsidRPr="00257F1C">
              <w:rPr>
                <w:rFonts w:cs="TimesNewRoman"/>
              </w:rPr>
              <w:t>, or any Security Incident,</w:t>
            </w:r>
            <w:r w:rsidRPr="00257F1C">
              <w:rPr>
                <w:rFonts w:cs="TimesNewRoman"/>
              </w:rPr>
              <w:t xml:space="preserve"> of which it becomes aware</w:t>
            </w:r>
            <w:r w:rsidR="00C17E0B" w:rsidRPr="00257F1C">
              <w:rPr>
                <w:rFonts w:cs="TimesNewRoman"/>
              </w:rPr>
              <w:t>,</w:t>
            </w:r>
            <w:r w:rsidR="00A836CD" w:rsidRPr="00257F1C">
              <w:rPr>
                <w:rFonts w:cs="TimesNewRoman"/>
              </w:rPr>
              <w:t xml:space="preserve"> or any</w:t>
            </w:r>
            <w:r w:rsidR="00C17E0B" w:rsidRPr="00257F1C">
              <w:rPr>
                <w:rFonts w:cs="TimesNewRoman"/>
              </w:rPr>
              <w:t xml:space="preserve"> B</w:t>
            </w:r>
            <w:r w:rsidR="00C85B91" w:rsidRPr="00257F1C">
              <w:rPr>
                <w:rFonts w:cs="TimesNewRoman"/>
              </w:rPr>
              <w:t>reaches of Unsecured PHI as required by 45 C.F.R. § 164.410.</w:t>
            </w:r>
          </w:p>
        </w:tc>
        <w:tc>
          <w:tcPr>
            <w:tcW w:w="1790" w:type="dxa"/>
            <w:shd w:val="clear" w:color="auto" w:fill="auto"/>
          </w:tcPr>
          <w:p w:rsidR="00B90A35" w:rsidRPr="00257F1C" w:rsidRDefault="00B90A35" w:rsidP="00D24747">
            <w:pPr>
              <w:autoSpaceDE w:val="0"/>
              <w:autoSpaceDN w:val="0"/>
              <w:adjustRightInd w:val="0"/>
              <w:rPr>
                <w:rFonts w:cs="TimesNewRoman"/>
              </w:rPr>
            </w:pPr>
          </w:p>
        </w:tc>
        <w:tc>
          <w:tcPr>
            <w:tcW w:w="910" w:type="dxa"/>
            <w:shd w:val="clear" w:color="auto" w:fill="auto"/>
          </w:tcPr>
          <w:p w:rsidR="00B90A35" w:rsidRPr="00257F1C" w:rsidRDefault="00B90A35" w:rsidP="00D24747">
            <w:pPr>
              <w:autoSpaceDE w:val="0"/>
              <w:autoSpaceDN w:val="0"/>
              <w:adjustRightInd w:val="0"/>
              <w:rPr>
                <w:rFonts w:cs="TimesNewRoman"/>
              </w:rPr>
            </w:pPr>
          </w:p>
        </w:tc>
      </w:tr>
      <w:tr w:rsidR="00B90A35" w:rsidRPr="00257F1C" w:rsidTr="00D24747">
        <w:tc>
          <w:tcPr>
            <w:tcW w:w="7128" w:type="dxa"/>
            <w:shd w:val="clear" w:color="auto" w:fill="auto"/>
          </w:tcPr>
          <w:p w:rsidR="00B90A35" w:rsidRPr="00257F1C" w:rsidRDefault="00B90A35" w:rsidP="0035762B">
            <w:pPr>
              <w:autoSpaceDE w:val="0"/>
              <w:autoSpaceDN w:val="0"/>
              <w:adjustRightInd w:val="0"/>
              <w:rPr>
                <w:rFonts w:cs="TimesNewRoman"/>
              </w:rPr>
            </w:pPr>
            <w:r w:rsidRPr="00257F1C">
              <w:rPr>
                <w:rFonts w:cs="TimesNewRoman"/>
              </w:rPr>
              <w:t xml:space="preserve">(D) </w:t>
            </w:r>
            <w:r w:rsidR="008049AE" w:rsidRPr="00257F1C">
              <w:rPr>
                <w:rFonts w:cs="TimesNewRoman"/>
                <w:b/>
              </w:rPr>
              <w:t>Subcontractors</w:t>
            </w:r>
            <w:r w:rsidR="008049AE" w:rsidRPr="00257F1C">
              <w:rPr>
                <w:rFonts w:cs="TimesNewRoman"/>
              </w:rPr>
              <w:t xml:space="preserve">:  </w:t>
            </w:r>
            <w:r w:rsidRPr="00257F1C">
              <w:rPr>
                <w:rFonts w:cs="TimesNewRoman"/>
              </w:rPr>
              <w:t xml:space="preserve">Ensure that any </w:t>
            </w:r>
            <w:r w:rsidR="0035762B" w:rsidRPr="00257F1C">
              <w:rPr>
                <w:rFonts w:cs="TimesNewRoman"/>
              </w:rPr>
              <w:t>subcontractors that create, receive, maintain or transmit PHI</w:t>
            </w:r>
            <w:r w:rsidRPr="00257F1C">
              <w:rPr>
                <w:rFonts w:cs="TimesNewRoman"/>
              </w:rPr>
              <w:t xml:space="preserve"> </w:t>
            </w:r>
            <w:r w:rsidR="0035762B" w:rsidRPr="00257F1C">
              <w:rPr>
                <w:rFonts w:cs="TimesNewRoman"/>
              </w:rPr>
              <w:t xml:space="preserve">on behalf of the BA agree </w:t>
            </w:r>
            <w:r w:rsidR="006E19C7" w:rsidRPr="00257F1C">
              <w:rPr>
                <w:rFonts w:cs="TimesNewRoman"/>
              </w:rPr>
              <w:t xml:space="preserve">in writing </w:t>
            </w:r>
            <w:r w:rsidR="0035762B" w:rsidRPr="00257F1C">
              <w:rPr>
                <w:rFonts w:cs="TimesNewRoman"/>
              </w:rPr>
              <w:t xml:space="preserve">to the same restrictions and conditions that apply to the BA with respect to such information. </w:t>
            </w:r>
          </w:p>
        </w:tc>
        <w:tc>
          <w:tcPr>
            <w:tcW w:w="1790" w:type="dxa"/>
            <w:shd w:val="clear" w:color="auto" w:fill="auto"/>
          </w:tcPr>
          <w:p w:rsidR="00B90A35" w:rsidRPr="00257F1C" w:rsidRDefault="00B90A35" w:rsidP="00D24747">
            <w:pPr>
              <w:autoSpaceDE w:val="0"/>
              <w:autoSpaceDN w:val="0"/>
              <w:adjustRightInd w:val="0"/>
              <w:rPr>
                <w:rFonts w:cs="TimesNewRoman"/>
              </w:rPr>
            </w:pPr>
          </w:p>
        </w:tc>
        <w:tc>
          <w:tcPr>
            <w:tcW w:w="910" w:type="dxa"/>
            <w:shd w:val="clear" w:color="auto" w:fill="auto"/>
          </w:tcPr>
          <w:p w:rsidR="00B90A35" w:rsidRPr="00257F1C" w:rsidRDefault="00B90A35" w:rsidP="00D24747">
            <w:pPr>
              <w:autoSpaceDE w:val="0"/>
              <w:autoSpaceDN w:val="0"/>
              <w:adjustRightInd w:val="0"/>
              <w:rPr>
                <w:rFonts w:cs="TimesNewRoman"/>
              </w:rPr>
            </w:pPr>
          </w:p>
        </w:tc>
      </w:tr>
      <w:tr w:rsidR="00B90A35" w:rsidRPr="00257F1C" w:rsidTr="00D24747">
        <w:tc>
          <w:tcPr>
            <w:tcW w:w="7128" w:type="dxa"/>
            <w:shd w:val="clear" w:color="auto" w:fill="auto"/>
          </w:tcPr>
          <w:p w:rsidR="00B90A35" w:rsidRPr="00257F1C" w:rsidRDefault="00B90A35" w:rsidP="0035762B">
            <w:pPr>
              <w:autoSpaceDE w:val="0"/>
              <w:autoSpaceDN w:val="0"/>
              <w:adjustRightInd w:val="0"/>
              <w:rPr>
                <w:rFonts w:cs="TimesNewRoman"/>
              </w:rPr>
            </w:pPr>
            <w:r w:rsidRPr="00257F1C">
              <w:rPr>
                <w:rFonts w:cs="TimesNewRoman"/>
              </w:rPr>
              <w:t xml:space="preserve">(E) </w:t>
            </w:r>
            <w:r w:rsidR="008049AE" w:rsidRPr="00257F1C">
              <w:rPr>
                <w:rFonts w:cs="TimesNewRoman"/>
                <w:b/>
              </w:rPr>
              <w:t>Access</w:t>
            </w:r>
            <w:r w:rsidR="008049AE" w:rsidRPr="00257F1C">
              <w:rPr>
                <w:rFonts w:cs="TimesNewRoman"/>
              </w:rPr>
              <w:t xml:space="preserve">:  </w:t>
            </w:r>
            <w:r w:rsidRPr="00257F1C">
              <w:rPr>
                <w:rFonts w:cs="TimesNewRoman"/>
              </w:rPr>
              <w:t>Make available</w:t>
            </w:r>
            <w:r w:rsidR="0035762B" w:rsidRPr="00257F1C">
              <w:rPr>
                <w:rFonts w:cs="TimesNewRoman"/>
              </w:rPr>
              <w:t xml:space="preserve"> PHI</w:t>
            </w:r>
            <w:r w:rsidRPr="00257F1C">
              <w:rPr>
                <w:rFonts w:cs="TimesNewRoman"/>
              </w:rPr>
              <w:t xml:space="preserve"> in accordance with § 164.524;</w:t>
            </w:r>
          </w:p>
        </w:tc>
        <w:tc>
          <w:tcPr>
            <w:tcW w:w="1790" w:type="dxa"/>
            <w:shd w:val="clear" w:color="auto" w:fill="auto"/>
          </w:tcPr>
          <w:p w:rsidR="00B90A35" w:rsidRPr="00257F1C" w:rsidRDefault="00B90A35" w:rsidP="00D24747">
            <w:pPr>
              <w:autoSpaceDE w:val="0"/>
              <w:autoSpaceDN w:val="0"/>
              <w:adjustRightInd w:val="0"/>
              <w:rPr>
                <w:rFonts w:cs="TimesNewRoman"/>
              </w:rPr>
            </w:pPr>
          </w:p>
        </w:tc>
        <w:tc>
          <w:tcPr>
            <w:tcW w:w="910" w:type="dxa"/>
            <w:shd w:val="clear" w:color="auto" w:fill="auto"/>
          </w:tcPr>
          <w:p w:rsidR="00B90A35" w:rsidRPr="00257F1C" w:rsidRDefault="00B90A35" w:rsidP="00D24747">
            <w:pPr>
              <w:autoSpaceDE w:val="0"/>
              <w:autoSpaceDN w:val="0"/>
              <w:adjustRightInd w:val="0"/>
              <w:rPr>
                <w:rFonts w:cs="TimesNewRoman"/>
              </w:rPr>
            </w:pPr>
          </w:p>
        </w:tc>
      </w:tr>
      <w:tr w:rsidR="00B90A35" w:rsidRPr="00257F1C" w:rsidTr="00D24747">
        <w:tc>
          <w:tcPr>
            <w:tcW w:w="7128" w:type="dxa"/>
            <w:shd w:val="clear" w:color="auto" w:fill="auto"/>
          </w:tcPr>
          <w:p w:rsidR="00B90A35" w:rsidRPr="00257F1C" w:rsidRDefault="00B90A35" w:rsidP="0035762B">
            <w:pPr>
              <w:autoSpaceDE w:val="0"/>
              <w:autoSpaceDN w:val="0"/>
              <w:adjustRightInd w:val="0"/>
              <w:rPr>
                <w:rFonts w:cs="TimesNewRoman"/>
              </w:rPr>
            </w:pPr>
            <w:r w:rsidRPr="00257F1C">
              <w:rPr>
                <w:rFonts w:cs="TimesNewRoman"/>
              </w:rPr>
              <w:t xml:space="preserve">(F) </w:t>
            </w:r>
            <w:r w:rsidR="008049AE" w:rsidRPr="00257F1C">
              <w:rPr>
                <w:rFonts w:cs="TimesNewRoman"/>
                <w:b/>
              </w:rPr>
              <w:t>Amendments</w:t>
            </w:r>
            <w:r w:rsidR="008049AE" w:rsidRPr="00257F1C">
              <w:rPr>
                <w:rFonts w:cs="TimesNewRoman"/>
              </w:rPr>
              <w:t xml:space="preserve">: </w:t>
            </w:r>
            <w:r w:rsidRPr="00257F1C">
              <w:rPr>
                <w:rFonts w:cs="TimesNewRoman"/>
              </w:rPr>
              <w:t>Make available</w:t>
            </w:r>
            <w:r w:rsidR="0035762B" w:rsidRPr="00257F1C">
              <w:rPr>
                <w:rFonts w:cs="TimesNewRoman"/>
              </w:rPr>
              <w:t xml:space="preserve"> PHI</w:t>
            </w:r>
            <w:r w:rsidRPr="00257F1C">
              <w:rPr>
                <w:rFonts w:cs="TimesNewRoman"/>
              </w:rPr>
              <w:t xml:space="preserve"> for amendment and incorporate any amendments to</w:t>
            </w:r>
            <w:r w:rsidR="0035762B" w:rsidRPr="00257F1C">
              <w:rPr>
                <w:rFonts w:cs="TimesNewRoman"/>
              </w:rPr>
              <w:t xml:space="preserve"> PHI</w:t>
            </w:r>
            <w:r w:rsidRPr="00257F1C">
              <w:rPr>
                <w:rFonts w:cs="TimesNewRoman"/>
              </w:rPr>
              <w:t xml:space="preserve"> in accordance with §164.526;</w:t>
            </w:r>
          </w:p>
        </w:tc>
        <w:tc>
          <w:tcPr>
            <w:tcW w:w="1790" w:type="dxa"/>
            <w:shd w:val="clear" w:color="auto" w:fill="auto"/>
          </w:tcPr>
          <w:p w:rsidR="00B90A35" w:rsidRPr="00257F1C" w:rsidRDefault="00B90A35" w:rsidP="00D24747">
            <w:pPr>
              <w:autoSpaceDE w:val="0"/>
              <w:autoSpaceDN w:val="0"/>
              <w:adjustRightInd w:val="0"/>
              <w:rPr>
                <w:rFonts w:cs="TimesNewRoman"/>
              </w:rPr>
            </w:pPr>
          </w:p>
        </w:tc>
        <w:tc>
          <w:tcPr>
            <w:tcW w:w="910" w:type="dxa"/>
            <w:shd w:val="clear" w:color="auto" w:fill="auto"/>
          </w:tcPr>
          <w:p w:rsidR="00B90A35" w:rsidRPr="00257F1C" w:rsidRDefault="00B90A35" w:rsidP="00D24747">
            <w:pPr>
              <w:autoSpaceDE w:val="0"/>
              <w:autoSpaceDN w:val="0"/>
              <w:adjustRightInd w:val="0"/>
              <w:rPr>
                <w:rFonts w:cs="TimesNewRoman"/>
              </w:rPr>
            </w:pPr>
          </w:p>
        </w:tc>
      </w:tr>
      <w:tr w:rsidR="00B90A35" w:rsidRPr="00257F1C" w:rsidTr="00D24747">
        <w:tc>
          <w:tcPr>
            <w:tcW w:w="7128" w:type="dxa"/>
            <w:shd w:val="clear" w:color="auto" w:fill="auto"/>
          </w:tcPr>
          <w:p w:rsidR="00B90A35" w:rsidRPr="00257F1C" w:rsidRDefault="00B90A35" w:rsidP="00D24747">
            <w:pPr>
              <w:autoSpaceDE w:val="0"/>
              <w:autoSpaceDN w:val="0"/>
              <w:adjustRightInd w:val="0"/>
              <w:rPr>
                <w:rFonts w:cs="TimesNewRoman"/>
              </w:rPr>
            </w:pPr>
            <w:r w:rsidRPr="00257F1C">
              <w:rPr>
                <w:rFonts w:cs="TimesNewRoman"/>
              </w:rPr>
              <w:t xml:space="preserve">(G) </w:t>
            </w:r>
            <w:r w:rsidR="008049AE" w:rsidRPr="00257F1C">
              <w:rPr>
                <w:rFonts w:cs="TimesNewRoman"/>
                <w:b/>
              </w:rPr>
              <w:t>Accounting</w:t>
            </w:r>
            <w:r w:rsidR="008049AE" w:rsidRPr="00257F1C">
              <w:rPr>
                <w:rFonts w:cs="TimesNewRoman"/>
              </w:rPr>
              <w:t xml:space="preserve">:  </w:t>
            </w:r>
            <w:r w:rsidRPr="00257F1C">
              <w:rPr>
                <w:rFonts w:cs="TimesNewRoman"/>
              </w:rPr>
              <w:t>Make available the information required to provide an accounting of disclosures in accordance with § 164.528;</w:t>
            </w:r>
          </w:p>
        </w:tc>
        <w:tc>
          <w:tcPr>
            <w:tcW w:w="1790" w:type="dxa"/>
            <w:shd w:val="clear" w:color="auto" w:fill="auto"/>
          </w:tcPr>
          <w:p w:rsidR="00B90A35" w:rsidRPr="00257F1C" w:rsidRDefault="00B90A35" w:rsidP="00D24747">
            <w:pPr>
              <w:autoSpaceDE w:val="0"/>
              <w:autoSpaceDN w:val="0"/>
              <w:adjustRightInd w:val="0"/>
              <w:rPr>
                <w:rFonts w:cs="TimesNewRoman"/>
              </w:rPr>
            </w:pPr>
          </w:p>
        </w:tc>
        <w:tc>
          <w:tcPr>
            <w:tcW w:w="910" w:type="dxa"/>
            <w:shd w:val="clear" w:color="auto" w:fill="auto"/>
          </w:tcPr>
          <w:p w:rsidR="00B90A35" w:rsidRPr="00257F1C" w:rsidRDefault="00B90A35" w:rsidP="00D24747">
            <w:pPr>
              <w:autoSpaceDE w:val="0"/>
              <w:autoSpaceDN w:val="0"/>
              <w:adjustRightInd w:val="0"/>
              <w:rPr>
                <w:rFonts w:cs="TimesNewRoman"/>
              </w:rPr>
            </w:pPr>
          </w:p>
        </w:tc>
      </w:tr>
      <w:tr w:rsidR="00B90A35" w:rsidRPr="00257F1C" w:rsidTr="00D24747">
        <w:tc>
          <w:tcPr>
            <w:tcW w:w="7128" w:type="dxa"/>
            <w:shd w:val="clear" w:color="auto" w:fill="auto"/>
          </w:tcPr>
          <w:p w:rsidR="00B90A35" w:rsidRPr="00257F1C" w:rsidRDefault="008049AE" w:rsidP="00D24747">
            <w:pPr>
              <w:autoSpaceDE w:val="0"/>
              <w:autoSpaceDN w:val="0"/>
              <w:adjustRightInd w:val="0"/>
              <w:rPr>
                <w:rFonts w:cs="TimesNewRoman"/>
              </w:rPr>
            </w:pPr>
            <w:r w:rsidRPr="00257F1C">
              <w:rPr>
                <w:rFonts w:cs="TimesNewRoman"/>
                <w:b/>
              </w:rPr>
              <w:t>Accounting</w:t>
            </w:r>
            <w:r w:rsidRPr="00257F1C">
              <w:rPr>
                <w:rFonts w:cs="TimesNewRoman"/>
              </w:rPr>
              <w:t xml:space="preserve">:  </w:t>
            </w:r>
            <w:r w:rsidR="00B90A35" w:rsidRPr="00257F1C">
              <w:rPr>
                <w:rFonts w:cs="TimesNewRoman"/>
              </w:rPr>
              <w:t>Track information needed for an accounting.</w:t>
            </w:r>
          </w:p>
        </w:tc>
        <w:tc>
          <w:tcPr>
            <w:tcW w:w="1790" w:type="dxa"/>
            <w:shd w:val="clear" w:color="auto" w:fill="auto"/>
          </w:tcPr>
          <w:p w:rsidR="00B90A35" w:rsidRPr="00257F1C" w:rsidRDefault="00B90A35" w:rsidP="00D24747">
            <w:pPr>
              <w:autoSpaceDE w:val="0"/>
              <w:autoSpaceDN w:val="0"/>
              <w:adjustRightInd w:val="0"/>
              <w:rPr>
                <w:rFonts w:cs="TimesNewRoman"/>
              </w:rPr>
            </w:pPr>
          </w:p>
        </w:tc>
        <w:tc>
          <w:tcPr>
            <w:tcW w:w="910" w:type="dxa"/>
            <w:shd w:val="clear" w:color="auto" w:fill="auto"/>
          </w:tcPr>
          <w:p w:rsidR="00B90A35" w:rsidRPr="00257F1C" w:rsidRDefault="00B90A35" w:rsidP="00D24747">
            <w:pPr>
              <w:autoSpaceDE w:val="0"/>
              <w:autoSpaceDN w:val="0"/>
              <w:adjustRightInd w:val="0"/>
              <w:rPr>
                <w:rFonts w:cs="TimesNewRoman"/>
              </w:rPr>
            </w:pPr>
          </w:p>
        </w:tc>
      </w:tr>
      <w:tr w:rsidR="00D2206A" w:rsidRPr="00257F1C" w:rsidTr="00D24747">
        <w:tc>
          <w:tcPr>
            <w:tcW w:w="7128" w:type="dxa"/>
            <w:shd w:val="clear" w:color="auto" w:fill="auto"/>
          </w:tcPr>
          <w:p w:rsidR="00D2206A" w:rsidRPr="00257F1C" w:rsidRDefault="00D2206A" w:rsidP="00D2206A">
            <w:pPr>
              <w:autoSpaceDE w:val="0"/>
              <w:autoSpaceDN w:val="0"/>
              <w:adjustRightInd w:val="0"/>
              <w:rPr>
                <w:rFonts w:cs="TimesNewRoman"/>
              </w:rPr>
            </w:pPr>
            <w:r w:rsidRPr="00257F1C">
              <w:rPr>
                <w:rFonts w:cs="TimesNewRoman"/>
              </w:rPr>
              <w:t xml:space="preserve">(H) </w:t>
            </w:r>
            <w:r w:rsidRPr="00257F1C">
              <w:rPr>
                <w:rFonts w:cs="TimesNewRoman"/>
                <w:b/>
              </w:rPr>
              <w:t>Privacy Rule.</w:t>
            </w:r>
            <w:r w:rsidRPr="00257F1C">
              <w:rPr>
                <w:rFonts w:cs="TimesNewRoman"/>
              </w:rPr>
              <w:t xml:space="preserve">  To the extent BA is to carry out any of CE’s obligations under the Privacy Rule, comply with the requirements of the </w:t>
            </w:r>
            <w:r w:rsidR="00C17E0B" w:rsidRPr="00257F1C">
              <w:rPr>
                <w:rFonts w:cs="TimesNewRoman"/>
              </w:rPr>
              <w:t xml:space="preserve">HIPAA </w:t>
            </w:r>
            <w:r w:rsidRPr="00257F1C">
              <w:rPr>
                <w:rFonts w:cs="TimesNewRoman"/>
              </w:rPr>
              <w:t xml:space="preserve">Privacy Rule </w:t>
            </w:r>
            <w:r w:rsidR="00C17E0B" w:rsidRPr="00257F1C">
              <w:rPr>
                <w:rFonts w:cs="TimesNewRoman"/>
              </w:rPr>
              <w:t xml:space="preserve">(Subpart E of 45 C.F.R. Part 164) </w:t>
            </w:r>
            <w:r w:rsidRPr="00257F1C">
              <w:rPr>
                <w:rFonts w:cs="TimesNewRoman"/>
              </w:rPr>
              <w:t>that apply to CE in the performance of such obligations.</w:t>
            </w:r>
          </w:p>
        </w:tc>
        <w:tc>
          <w:tcPr>
            <w:tcW w:w="1790" w:type="dxa"/>
            <w:shd w:val="clear" w:color="auto" w:fill="auto"/>
          </w:tcPr>
          <w:p w:rsidR="00D2206A" w:rsidRPr="00257F1C" w:rsidRDefault="00D2206A" w:rsidP="00D24747">
            <w:pPr>
              <w:autoSpaceDE w:val="0"/>
              <w:autoSpaceDN w:val="0"/>
              <w:adjustRightInd w:val="0"/>
              <w:rPr>
                <w:rFonts w:cs="TimesNewRoman"/>
              </w:rPr>
            </w:pPr>
          </w:p>
        </w:tc>
        <w:tc>
          <w:tcPr>
            <w:tcW w:w="910" w:type="dxa"/>
            <w:shd w:val="clear" w:color="auto" w:fill="auto"/>
          </w:tcPr>
          <w:p w:rsidR="00D2206A" w:rsidRPr="00257F1C" w:rsidRDefault="00D2206A" w:rsidP="00D24747">
            <w:pPr>
              <w:autoSpaceDE w:val="0"/>
              <w:autoSpaceDN w:val="0"/>
              <w:adjustRightInd w:val="0"/>
              <w:rPr>
                <w:rFonts w:cs="TimesNewRoman"/>
              </w:rPr>
            </w:pPr>
          </w:p>
        </w:tc>
      </w:tr>
      <w:tr w:rsidR="00B90A35" w:rsidRPr="00257F1C" w:rsidTr="00D24747">
        <w:tc>
          <w:tcPr>
            <w:tcW w:w="7128" w:type="dxa"/>
            <w:shd w:val="clear" w:color="auto" w:fill="auto"/>
          </w:tcPr>
          <w:p w:rsidR="00B90A35" w:rsidRPr="00257F1C" w:rsidRDefault="00B767F6" w:rsidP="00B767F6">
            <w:pPr>
              <w:autoSpaceDE w:val="0"/>
              <w:autoSpaceDN w:val="0"/>
              <w:adjustRightInd w:val="0"/>
              <w:rPr>
                <w:rFonts w:cs="TimesNewRoman"/>
              </w:rPr>
            </w:pPr>
            <w:r w:rsidRPr="00257F1C">
              <w:rPr>
                <w:rFonts w:cs="TimesNewRoman"/>
              </w:rPr>
              <w:t>(I</w:t>
            </w:r>
            <w:r w:rsidR="00B90A35" w:rsidRPr="00257F1C">
              <w:rPr>
                <w:rFonts w:cs="TimesNewRoman"/>
              </w:rPr>
              <w:t xml:space="preserve">) </w:t>
            </w:r>
            <w:r w:rsidR="00506C82" w:rsidRPr="00257F1C">
              <w:rPr>
                <w:rFonts w:cs="TimesNewRoman"/>
                <w:b/>
              </w:rPr>
              <w:t>Records</w:t>
            </w:r>
            <w:r w:rsidR="008049AE" w:rsidRPr="00257F1C">
              <w:rPr>
                <w:rFonts w:cs="TimesNewRoman"/>
              </w:rPr>
              <w:t xml:space="preserve">:  </w:t>
            </w:r>
            <w:r w:rsidR="00B90A35" w:rsidRPr="00257F1C">
              <w:rPr>
                <w:rFonts w:cs="TimesNewRoman"/>
              </w:rPr>
              <w:t xml:space="preserve">Make its internal practices, books, and records relating to </w:t>
            </w:r>
            <w:r w:rsidR="00B90A35" w:rsidRPr="00257F1C">
              <w:rPr>
                <w:rFonts w:cs="TimesNewRoman"/>
              </w:rPr>
              <w:lastRenderedPageBreak/>
              <w:t xml:space="preserve">the use and disclosure of </w:t>
            </w:r>
            <w:r w:rsidRPr="00257F1C">
              <w:rPr>
                <w:rFonts w:cs="TimesNewRoman"/>
              </w:rPr>
              <w:t xml:space="preserve">PHI </w:t>
            </w:r>
            <w:r w:rsidR="00B90A35" w:rsidRPr="00257F1C">
              <w:rPr>
                <w:rFonts w:cs="TimesNewRoman"/>
              </w:rPr>
              <w:t>received from, or created or received by the</w:t>
            </w:r>
            <w:r w:rsidRPr="00257F1C">
              <w:rPr>
                <w:rFonts w:cs="TimesNewRoman"/>
              </w:rPr>
              <w:t xml:space="preserve"> BA</w:t>
            </w:r>
            <w:r w:rsidR="00B90A35" w:rsidRPr="00257F1C">
              <w:rPr>
                <w:rFonts w:cs="TimesNewRoman"/>
              </w:rPr>
              <w:t xml:space="preserve"> on behalf of, the </w:t>
            </w:r>
            <w:r w:rsidRPr="00257F1C">
              <w:rPr>
                <w:rFonts w:cs="TimesNewRoman"/>
              </w:rPr>
              <w:t xml:space="preserve">CE </w:t>
            </w:r>
            <w:r w:rsidR="00B90A35" w:rsidRPr="00257F1C">
              <w:rPr>
                <w:rFonts w:cs="TimesNewRoman"/>
              </w:rPr>
              <w:t>available to the Secretary for purposes of determining the</w:t>
            </w:r>
            <w:r w:rsidRPr="00257F1C">
              <w:rPr>
                <w:rFonts w:cs="TimesNewRoman"/>
              </w:rPr>
              <w:t xml:space="preserve"> CE’s</w:t>
            </w:r>
            <w:r w:rsidR="00B90A35" w:rsidRPr="00257F1C">
              <w:rPr>
                <w:rFonts w:cs="TimesNewRoman"/>
              </w:rPr>
              <w:t xml:space="preserve"> compliance with </w:t>
            </w:r>
            <w:r w:rsidRPr="00257F1C">
              <w:rPr>
                <w:rFonts w:cs="TimesNewRoman"/>
              </w:rPr>
              <w:t>the Privacy Rule</w:t>
            </w:r>
            <w:r w:rsidR="00B90A35" w:rsidRPr="00257F1C">
              <w:rPr>
                <w:rFonts w:cs="TimesNewRoman"/>
              </w:rPr>
              <w:t xml:space="preserve">; </w:t>
            </w:r>
          </w:p>
        </w:tc>
        <w:tc>
          <w:tcPr>
            <w:tcW w:w="1790" w:type="dxa"/>
            <w:shd w:val="clear" w:color="auto" w:fill="auto"/>
          </w:tcPr>
          <w:p w:rsidR="00B90A35" w:rsidRPr="00257F1C" w:rsidRDefault="00B90A35" w:rsidP="00D24747">
            <w:pPr>
              <w:autoSpaceDE w:val="0"/>
              <w:autoSpaceDN w:val="0"/>
              <w:adjustRightInd w:val="0"/>
              <w:rPr>
                <w:rFonts w:cs="TimesNewRoman"/>
              </w:rPr>
            </w:pPr>
          </w:p>
        </w:tc>
        <w:tc>
          <w:tcPr>
            <w:tcW w:w="910" w:type="dxa"/>
            <w:shd w:val="clear" w:color="auto" w:fill="auto"/>
          </w:tcPr>
          <w:p w:rsidR="00B90A35" w:rsidRPr="00257F1C" w:rsidRDefault="00B90A35" w:rsidP="00D24747">
            <w:pPr>
              <w:autoSpaceDE w:val="0"/>
              <w:autoSpaceDN w:val="0"/>
              <w:adjustRightInd w:val="0"/>
              <w:rPr>
                <w:rFonts w:cs="TimesNewRoman"/>
              </w:rPr>
            </w:pPr>
          </w:p>
        </w:tc>
      </w:tr>
      <w:tr w:rsidR="00784C00" w:rsidRPr="00257F1C" w:rsidTr="00D24747">
        <w:tc>
          <w:tcPr>
            <w:tcW w:w="7128" w:type="dxa"/>
            <w:tcBorders>
              <w:bottom w:val="single" w:sz="4" w:space="0" w:color="auto"/>
            </w:tcBorders>
            <w:shd w:val="clear" w:color="auto" w:fill="auto"/>
          </w:tcPr>
          <w:p w:rsidR="00784C00" w:rsidRPr="00257F1C" w:rsidRDefault="00B767F6" w:rsidP="00FB6E3B">
            <w:pPr>
              <w:autoSpaceDE w:val="0"/>
              <w:autoSpaceDN w:val="0"/>
              <w:adjustRightInd w:val="0"/>
              <w:rPr>
                <w:rFonts w:cs="TimesNewRoman"/>
              </w:rPr>
            </w:pPr>
            <w:r w:rsidRPr="00257F1C">
              <w:rPr>
                <w:rFonts w:cs="TimesNewRoman"/>
              </w:rPr>
              <w:lastRenderedPageBreak/>
              <w:t>(J</w:t>
            </w:r>
            <w:r w:rsidR="00784C00" w:rsidRPr="00257F1C">
              <w:rPr>
                <w:rFonts w:cs="TimesNewRoman"/>
              </w:rPr>
              <w:t xml:space="preserve">) </w:t>
            </w:r>
            <w:r w:rsidR="00784C00" w:rsidRPr="00257F1C">
              <w:rPr>
                <w:rFonts w:cs="TimesNewRoman"/>
                <w:b/>
              </w:rPr>
              <w:t>Return/Destroy</w:t>
            </w:r>
            <w:r w:rsidR="00784C00" w:rsidRPr="00257F1C">
              <w:rPr>
                <w:rFonts w:cs="TimesNewRoman"/>
              </w:rPr>
              <w:t>:  At termination of the contract, if feasible, return or destroy all</w:t>
            </w:r>
            <w:r w:rsidR="00FB6E3B" w:rsidRPr="00257F1C">
              <w:rPr>
                <w:rFonts w:cs="TimesNewRoman"/>
              </w:rPr>
              <w:t xml:space="preserve"> PHI</w:t>
            </w:r>
            <w:r w:rsidR="00784C00" w:rsidRPr="00257F1C">
              <w:rPr>
                <w:rFonts w:cs="TimesNewRoman"/>
              </w:rPr>
              <w:t xml:space="preserve"> received from, or created or received by</w:t>
            </w:r>
            <w:r w:rsidR="00FB6E3B" w:rsidRPr="00257F1C">
              <w:rPr>
                <w:rFonts w:cs="TimesNewRoman"/>
              </w:rPr>
              <w:t xml:space="preserve"> BA</w:t>
            </w:r>
            <w:r w:rsidR="00784C00" w:rsidRPr="00257F1C">
              <w:rPr>
                <w:rFonts w:cs="TimesNewRoman"/>
              </w:rPr>
              <w:t xml:space="preserve"> on behalf of, the </w:t>
            </w:r>
            <w:r w:rsidR="00FB6E3B" w:rsidRPr="00257F1C">
              <w:rPr>
                <w:rFonts w:cs="TimesNewRoman"/>
              </w:rPr>
              <w:t xml:space="preserve">CE </w:t>
            </w:r>
            <w:r w:rsidR="00784C00" w:rsidRPr="00257F1C">
              <w:rPr>
                <w:rFonts w:cs="TimesNewRoman"/>
              </w:rPr>
              <w:t xml:space="preserve">that the </w:t>
            </w:r>
            <w:r w:rsidR="00FB6E3B" w:rsidRPr="00257F1C">
              <w:rPr>
                <w:rFonts w:cs="TimesNewRoman"/>
              </w:rPr>
              <w:t xml:space="preserve">BA </w:t>
            </w:r>
            <w:r w:rsidR="00784C00" w:rsidRPr="00257F1C">
              <w:rPr>
                <w:rFonts w:cs="TimesNewRoman"/>
              </w:rPr>
              <w:t>still maintains in any form and retain no copies of such information or, if such return or destruction is not feasible, extend the protections of the contract to the information and limit further uses and disclosures to those purposes that make the return or destruction of the information infeasible.</w:t>
            </w:r>
          </w:p>
        </w:tc>
        <w:tc>
          <w:tcPr>
            <w:tcW w:w="1790" w:type="dxa"/>
            <w:tcBorders>
              <w:bottom w:val="single" w:sz="4" w:space="0" w:color="auto"/>
            </w:tcBorders>
            <w:shd w:val="clear" w:color="auto" w:fill="auto"/>
          </w:tcPr>
          <w:p w:rsidR="00784C00" w:rsidRPr="00257F1C" w:rsidRDefault="00784C00" w:rsidP="00D24747">
            <w:pPr>
              <w:autoSpaceDE w:val="0"/>
              <w:autoSpaceDN w:val="0"/>
              <w:adjustRightInd w:val="0"/>
              <w:rPr>
                <w:rFonts w:cs="TimesNewRoman"/>
              </w:rPr>
            </w:pPr>
          </w:p>
        </w:tc>
        <w:tc>
          <w:tcPr>
            <w:tcW w:w="910" w:type="dxa"/>
            <w:tcBorders>
              <w:bottom w:val="single" w:sz="4" w:space="0" w:color="auto"/>
            </w:tcBorders>
            <w:shd w:val="clear" w:color="auto" w:fill="auto"/>
          </w:tcPr>
          <w:p w:rsidR="00784C00" w:rsidRPr="00257F1C" w:rsidRDefault="00784C00" w:rsidP="00D24747">
            <w:pPr>
              <w:autoSpaceDE w:val="0"/>
              <w:autoSpaceDN w:val="0"/>
              <w:adjustRightInd w:val="0"/>
              <w:rPr>
                <w:rFonts w:cs="TimesNewRoman"/>
              </w:rPr>
            </w:pPr>
          </w:p>
        </w:tc>
      </w:tr>
      <w:tr w:rsidR="00B90A35" w:rsidRPr="00257F1C" w:rsidTr="00D24747">
        <w:tc>
          <w:tcPr>
            <w:tcW w:w="7128" w:type="dxa"/>
            <w:shd w:val="clear" w:color="auto" w:fill="auto"/>
          </w:tcPr>
          <w:p w:rsidR="00B90A35" w:rsidRPr="00257F1C" w:rsidRDefault="008049AE" w:rsidP="00FB6E3B">
            <w:pPr>
              <w:tabs>
                <w:tab w:val="left" w:pos="2118"/>
              </w:tabs>
              <w:autoSpaceDE w:val="0"/>
              <w:autoSpaceDN w:val="0"/>
              <w:adjustRightInd w:val="0"/>
              <w:rPr>
                <w:rFonts w:cs="TimesNewRoman"/>
              </w:rPr>
            </w:pPr>
            <w:r w:rsidRPr="00257F1C">
              <w:rPr>
                <w:rFonts w:cs="TimesNewRoman"/>
                <w:b/>
              </w:rPr>
              <w:t>Termination Provision:</w:t>
            </w:r>
            <w:r w:rsidRPr="00257F1C">
              <w:rPr>
                <w:rFonts w:cs="TimesNewRoman"/>
              </w:rPr>
              <w:t xml:space="preserve">  </w:t>
            </w:r>
            <w:r w:rsidR="00B90A35" w:rsidRPr="00257F1C">
              <w:rPr>
                <w:rFonts w:cs="TimesNewRoman"/>
              </w:rPr>
              <w:t xml:space="preserve">Authorize termination of the contract by the </w:t>
            </w:r>
            <w:r w:rsidR="00FB6E3B" w:rsidRPr="00257F1C">
              <w:rPr>
                <w:rFonts w:cs="TimesNewRoman"/>
              </w:rPr>
              <w:t>CE</w:t>
            </w:r>
            <w:r w:rsidR="00B90A35" w:rsidRPr="00257F1C">
              <w:rPr>
                <w:rFonts w:cs="TimesNewRoman"/>
              </w:rPr>
              <w:t xml:space="preserve">, if the </w:t>
            </w:r>
            <w:r w:rsidR="00FB6E3B" w:rsidRPr="00257F1C">
              <w:rPr>
                <w:rFonts w:cs="TimesNewRoman"/>
              </w:rPr>
              <w:t xml:space="preserve">CE </w:t>
            </w:r>
            <w:r w:rsidR="00B90A35" w:rsidRPr="00257F1C">
              <w:rPr>
                <w:rFonts w:cs="TimesNewRoman"/>
              </w:rPr>
              <w:t xml:space="preserve">determines that the </w:t>
            </w:r>
            <w:r w:rsidR="00FB6E3B" w:rsidRPr="00257F1C">
              <w:rPr>
                <w:rFonts w:cs="TimesNewRoman"/>
              </w:rPr>
              <w:t xml:space="preserve">BA </w:t>
            </w:r>
            <w:r w:rsidR="00B90A35" w:rsidRPr="00257F1C">
              <w:rPr>
                <w:rFonts w:cs="TimesNewRoman"/>
              </w:rPr>
              <w:t>has violated a material term of the contract.</w:t>
            </w:r>
          </w:p>
        </w:tc>
        <w:tc>
          <w:tcPr>
            <w:tcW w:w="1790" w:type="dxa"/>
            <w:shd w:val="clear" w:color="auto" w:fill="auto"/>
          </w:tcPr>
          <w:p w:rsidR="00B90A35" w:rsidRPr="00257F1C" w:rsidRDefault="00B90A35" w:rsidP="00D24747">
            <w:pPr>
              <w:autoSpaceDE w:val="0"/>
              <w:autoSpaceDN w:val="0"/>
              <w:adjustRightInd w:val="0"/>
              <w:rPr>
                <w:rFonts w:cs="TimesNewRoman"/>
              </w:rPr>
            </w:pPr>
          </w:p>
        </w:tc>
        <w:tc>
          <w:tcPr>
            <w:tcW w:w="910" w:type="dxa"/>
            <w:shd w:val="clear" w:color="auto" w:fill="auto"/>
          </w:tcPr>
          <w:p w:rsidR="00B90A35" w:rsidRPr="00257F1C" w:rsidRDefault="00B90A35" w:rsidP="00D24747">
            <w:pPr>
              <w:autoSpaceDE w:val="0"/>
              <w:autoSpaceDN w:val="0"/>
              <w:adjustRightInd w:val="0"/>
              <w:rPr>
                <w:rFonts w:cs="TimesNewRoman"/>
              </w:rPr>
            </w:pPr>
          </w:p>
        </w:tc>
      </w:tr>
    </w:tbl>
    <w:p w:rsidR="00A82A86" w:rsidRPr="00257F1C" w:rsidRDefault="00A82A86"/>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le listing optional terms that often appear but are not required in a business associate agreement (&quot;BAA&quot;). Second column has space for notes and the third column has a space to check off the required items."/>
      </w:tblPr>
      <w:tblGrid>
        <w:gridCol w:w="7037"/>
        <w:gridCol w:w="1774"/>
        <w:gridCol w:w="1017"/>
      </w:tblGrid>
      <w:tr w:rsidR="00890BB1" w:rsidRPr="00257F1C" w:rsidTr="00902BE8">
        <w:trPr>
          <w:tblHeader/>
        </w:trPr>
        <w:tc>
          <w:tcPr>
            <w:tcW w:w="9828" w:type="dxa"/>
            <w:gridSpan w:val="3"/>
            <w:shd w:val="clear" w:color="auto" w:fill="CCCCCC"/>
          </w:tcPr>
          <w:p w:rsidR="0047583A" w:rsidRPr="00257F1C" w:rsidRDefault="0047583A" w:rsidP="009A6DF1">
            <w:pPr>
              <w:autoSpaceDE w:val="0"/>
              <w:autoSpaceDN w:val="0"/>
              <w:adjustRightInd w:val="0"/>
              <w:jc w:val="center"/>
              <w:rPr>
                <w:b/>
              </w:rPr>
            </w:pPr>
            <w:r w:rsidRPr="00257F1C">
              <w:rPr>
                <w:b/>
              </w:rPr>
              <w:t>Optional Terms</w:t>
            </w:r>
          </w:p>
          <w:p w:rsidR="0047583A" w:rsidRPr="00257F1C" w:rsidRDefault="0047583A" w:rsidP="009A6DF1">
            <w:pPr>
              <w:autoSpaceDE w:val="0"/>
              <w:autoSpaceDN w:val="0"/>
              <w:adjustRightInd w:val="0"/>
            </w:pPr>
          </w:p>
          <w:p w:rsidR="0047583A" w:rsidRPr="00257F1C" w:rsidRDefault="0047583A" w:rsidP="00380C55">
            <w:pPr>
              <w:autoSpaceDE w:val="0"/>
              <w:autoSpaceDN w:val="0"/>
              <w:adjustRightInd w:val="0"/>
            </w:pPr>
            <w:r w:rsidRPr="00257F1C">
              <w:t xml:space="preserve">The following terms often appear, but are not required to be in, a </w:t>
            </w:r>
            <w:r w:rsidR="00380C55" w:rsidRPr="00257F1C">
              <w:t>BAA</w:t>
            </w:r>
            <w:r w:rsidRPr="00257F1C">
              <w:t xml:space="preserve">.  </w:t>
            </w:r>
            <w:r w:rsidR="00D62732" w:rsidRPr="00257F1C">
              <w:t>Their</w:t>
            </w:r>
            <w:r w:rsidR="00D33385" w:rsidRPr="00257F1C">
              <w:t xml:space="preserve"> inclusion is often a matter of negotiating power and/or leverage between the CE and BA.</w:t>
            </w:r>
          </w:p>
        </w:tc>
      </w:tr>
      <w:tr w:rsidR="00890BB1" w:rsidRPr="00257F1C" w:rsidTr="00902BE8">
        <w:trPr>
          <w:tblHeader/>
        </w:trPr>
        <w:tc>
          <w:tcPr>
            <w:tcW w:w="7037" w:type="dxa"/>
            <w:shd w:val="clear" w:color="auto" w:fill="E6E6E6"/>
            <w:vAlign w:val="center"/>
          </w:tcPr>
          <w:p w:rsidR="0047583A" w:rsidRPr="00902BE8" w:rsidRDefault="0047583A" w:rsidP="009A6DF1">
            <w:pPr>
              <w:autoSpaceDE w:val="0"/>
              <w:autoSpaceDN w:val="0"/>
              <w:adjustRightInd w:val="0"/>
              <w:rPr>
                <w:b/>
                <w:u w:val="single"/>
              </w:rPr>
            </w:pPr>
            <w:r w:rsidRPr="00902BE8">
              <w:rPr>
                <w:b/>
                <w:u w:val="single"/>
              </w:rPr>
              <w:t>Term</w:t>
            </w:r>
          </w:p>
        </w:tc>
        <w:tc>
          <w:tcPr>
            <w:tcW w:w="1774" w:type="dxa"/>
            <w:shd w:val="clear" w:color="auto" w:fill="E6E6E6"/>
            <w:vAlign w:val="center"/>
          </w:tcPr>
          <w:p w:rsidR="0047583A" w:rsidRPr="00257F1C" w:rsidRDefault="0047583A" w:rsidP="009A6DF1">
            <w:pPr>
              <w:autoSpaceDE w:val="0"/>
              <w:autoSpaceDN w:val="0"/>
              <w:adjustRightInd w:val="0"/>
              <w:rPr>
                <w:b/>
              </w:rPr>
            </w:pPr>
            <w:r w:rsidRPr="00257F1C">
              <w:rPr>
                <w:b/>
              </w:rPr>
              <w:t>Notes</w:t>
            </w:r>
          </w:p>
        </w:tc>
        <w:tc>
          <w:tcPr>
            <w:tcW w:w="1017" w:type="dxa"/>
            <w:shd w:val="clear" w:color="auto" w:fill="E6E6E6"/>
            <w:vAlign w:val="center"/>
          </w:tcPr>
          <w:p w:rsidR="0047583A" w:rsidRPr="00257F1C" w:rsidRDefault="0047583A" w:rsidP="009A6DF1">
            <w:pPr>
              <w:autoSpaceDE w:val="0"/>
              <w:autoSpaceDN w:val="0"/>
              <w:adjustRightInd w:val="0"/>
              <w:jc w:val="center"/>
              <w:rPr>
                <w:b/>
              </w:rPr>
            </w:pPr>
            <w:r w:rsidRPr="00257F1C">
              <w:rPr>
                <w:b/>
              </w:rPr>
              <w:t>Check-off</w:t>
            </w:r>
          </w:p>
        </w:tc>
      </w:tr>
      <w:tr w:rsidR="00F96AF2" w:rsidRPr="00257F1C" w:rsidTr="009A6DF1">
        <w:tc>
          <w:tcPr>
            <w:tcW w:w="7037" w:type="dxa"/>
            <w:shd w:val="clear" w:color="auto" w:fill="auto"/>
          </w:tcPr>
          <w:p w:rsidR="00F96AF2" w:rsidRPr="00257F1C" w:rsidRDefault="00F96AF2" w:rsidP="009A6DF1">
            <w:pPr>
              <w:autoSpaceDE w:val="0"/>
              <w:autoSpaceDN w:val="0"/>
              <w:adjustRightInd w:val="0"/>
              <w:rPr>
                <w:rFonts w:cs="TimesNewRoman"/>
              </w:rPr>
            </w:pPr>
            <w:proofErr w:type="spellStart"/>
            <w:r w:rsidRPr="00257F1C">
              <w:rPr>
                <w:rFonts w:cs="TimesNewRoman"/>
                <w:b/>
              </w:rPr>
              <w:t>Mgmt</w:t>
            </w:r>
            <w:proofErr w:type="spellEnd"/>
            <w:r w:rsidRPr="00257F1C">
              <w:rPr>
                <w:rFonts w:cs="TimesNewRoman"/>
                <w:b/>
              </w:rPr>
              <w:t>/Admin of BA:</w:t>
            </w:r>
            <w:r w:rsidRPr="00257F1C">
              <w:rPr>
                <w:rFonts w:cs="TimesNewRoman"/>
              </w:rPr>
              <w:t xml:space="preserve"> The contract may permit the BA to use and disclose PHI for the proper management and administration of the BA:</w:t>
            </w:r>
          </w:p>
          <w:p w:rsidR="00F96AF2" w:rsidRPr="00257F1C" w:rsidRDefault="00F96AF2" w:rsidP="009A6DF1">
            <w:pPr>
              <w:autoSpaceDE w:val="0"/>
              <w:autoSpaceDN w:val="0"/>
              <w:adjustRightInd w:val="0"/>
              <w:rPr>
                <w:rFonts w:cs="TimesNewRoman"/>
              </w:rPr>
            </w:pPr>
            <w:r w:rsidRPr="00257F1C">
              <w:rPr>
                <w:rFonts w:cs="TimesNewRoman"/>
                <w:b/>
              </w:rPr>
              <w:t>USE</w:t>
            </w:r>
            <w:r w:rsidRPr="00257F1C">
              <w:rPr>
                <w:rFonts w:cs="TimesNewRoman"/>
              </w:rPr>
              <w:t xml:space="preserve"> if necessary: (A) For the proper management and administration of the BA; or (B) To carry out the legal responsibilities of the BA.</w:t>
            </w:r>
          </w:p>
          <w:p w:rsidR="00F96AF2" w:rsidRPr="00257F1C" w:rsidRDefault="00F96AF2" w:rsidP="009A6DF1">
            <w:pPr>
              <w:autoSpaceDE w:val="0"/>
              <w:autoSpaceDN w:val="0"/>
              <w:adjustRightInd w:val="0"/>
              <w:rPr>
                <w:rFonts w:cs="TimesNewRoman"/>
              </w:rPr>
            </w:pPr>
            <w:r w:rsidRPr="00257F1C">
              <w:rPr>
                <w:rFonts w:cs="TimesNewRoman"/>
                <w:b/>
              </w:rPr>
              <w:t>DISCLOSE</w:t>
            </w:r>
            <w:r w:rsidRPr="00257F1C">
              <w:rPr>
                <w:rFonts w:cs="TimesNewRoman"/>
              </w:rPr>
              <w:t xml:space="preserve"> if (A) The disclosure is required by law; or (B</w:t>
            </w:r>
            <w:proofErr w:type="gramStart"/>
            <w:r w:rsidRPr="00257F1C">
              <w:rPr>
                <w:rFonts w:cs="TimesNewRoman"/>
              </w:rPr>
              <w:t>)(</w:t>
            </w:r>
            <w:proofErr w:type="gramEnd"/>
            <w:r w:rsidRPr="00257F1C">
              <w:rPr>
                <w:rFonts w:cs="TimesNewRoman"/>
              </w:rPr>
              <w:t xml:space="preserve">1) The BA obtains reasonable assurances from the person to whom the information is disclosed that it will be held confidentially and used or further disclosed only as required by law or for the purpose for which it was disclosed to the person; and (2) The person notifies the </w:t>
            </w:r>
            <w:r w:rsidR="009C54C6">
              <w:rPr>
                <w:rFonts w:cs="TimesNewRoman"/>
              </w:rPr>
              <w:t xml:space="preserve">BA </w:t>
            </w:r>
            <w:r w:rsidRPr="00257F1C">
              <w:rPr>
                <w:rFonts w:cs="TimesNewRoman"/>
              </w:rPr>
              <w:t>of any instances of which it is aware in which the confidentiality of the information has been breached.</w:t>
            </w:r>
          </w:p>
        </w:tc>
        <w:tc>
          <w:tcPr>
            <w:tcW w:w="1774" w:type="dxa"/>
            <w:shd w:val="clear" w:color="auto" w:fill="auto"/>
          </w:tcPr>
          <w:p w:rsidR="00F96AF2" w:rsidRPr="00257F1C" w:rsidRDefault="00F96AF2" w:rsidP="009A6DF1">
            <w:pPr>
              <w:autoSpaceDE w:val="0"/>
              <w:autoSpaceDN w:val="0"/>
              <w:adjustRightInd w:val="0"/>
              <w:rPr>
                <w:rFonts w:cs="TimesNewRoman"/>
              </w:rPr>
            </w:pPr>
          </w:p>
        </w:tc>
        <w:tc>
          <w:tcPr>
            <w:tcW w:w="1017" w:type="dxa"/>
            <w:shd w:val="clear" w:color="auto" w:fill="auto"/>
          </w:tcPr>
          <w:p w:rsidR="00F96AF2" w:rsidRPr="00257F1C" w:rsidRDefault="00F96AF2" w:rsidP="009A6DF1">
            <w:pPr>
              <w:autoSpaceDE w:val="0"/>
              <w:autoSpaceDN w:val="0"/>
              <w:adjustRightInd w:val="0"/>
              <w:rPr>
                <w:rFonts w:cs="TimesNewRoman"/>
              </w:rPr>
            </w:pPr>
          </w:p>
        </w:tc>
      </w:tr>
      <w:tr w:rsidR="00890BB1" w:rsidRPr="00257F1C" w:rsidTr="009A6DF1">
        <w:tc>
          <w:tcPr>
            <w:tcW w:w="7037" w:type="dxa"/>
            <w:shd w:val="clear" w:color="auto" w:fill="auto"/>
          </w:tcPr>
          <w:p w:rsidR="00F96AF2" w:rsidRPr="00257F1C" w:rsidRDefault="00F96AF2" w:rsidP="009A6DF1">
            <w:pPr>
              <w:autoSpaceDE w:val="0"/>
              <w:autoSpaceDN w:val="0"/>
              <w:adjustRightInd w:val="0"/>
              <w:rPr>
                <w:rFonts w:cs="TimesNewRoman"/>
              </w:rPr>
            </w:pPr>
            <w:r w:rsidRPr="00257F1C">
              <w:rPr>
                <w:rFonts w:cs="TimesNewRoman"/>
                <w:b/>
              </w:rPr>
              <w:t>Data Aggregation:</w:t>
            </w:r>
            <w:r w:rsidRPr="00257F1C">
              <w:rPr>
                <w:rFonts w:cs="TimesNewRoman"/>
              </w:rPr>
              <w:t xml:space="preserve">  The contract may permit the BA to provide data aggregation services relating to the health care operations of the CE.</w:t>
            </w:r>
          </w:p>
        </w:tc>
        <w:tc>
          <w:tcPr>
            <w:tcW w:w="1774" w:type="dxa"/>
            <w:shd w:val="clear" w:color="auto" w:fill="auto"/>
          </w:tcPr>
          <w:p w:rsidR="00F96AF2" w:rsidRPr="00257F1C" w:rsidRDefault="00F96AF2" w:rsidP="009A6DF1">
            <w:pPr>
              <w:autoSpaceDE w:val="0"/>
              <w:autoSpaceDN w:val="0"/>
              <w:adjustRightInd w:val="0"/>
              <w:rPr>
                <w:rFonts w:cs="TimesNewRoman"/>
              </w:rPr>
            </w:pPr>
          </w:p>
        </w:tc>
        <w:tc>
          <w:tcPr>
            <w:tcW w:w="1017" w:type="dxa"/>
            <w:shd w:val="clear" w:color="auto" w:fill="auto"/>
          </w:tcPr>
          <w:p w:rsidR="00F96AF2" w:rsidRPr="00257F1C" w:rsidRDefault="00F96AF2" w:rsidP="009A6DF1">
            <w:pPr>
              <w:autoSpaceDE w:val="0"/>
              <w:autoSpaceDN w:val="0"/>
              <w:adjustRightInd w:val="0"/>
              <w:rPr>
                <w:rFonts w:cs="TimesNewRoman"/>
              </w:rPr>
            </w:pPr>
          </w:p>
        </w:tc>
      </w:tr>
      <w:tr w:rsidR="00890BB1" w:rsidRPr="00257F1C" w:rsidTr="009A6DF1">
        <w:tc>
          <w:tcPr>
            <w:tcW w:w="7037" w:type="dxa"/>
            <w:shd w:val="clear" w:color="auto" w:fill="auto"/>
          </w:tcPr>
          <w:p w:rsidR="00F96AF2" w:rsidRPr="00257F1C" w:rsidRDefault="00651BA6" w:rsidP="009A6DF1">
            <w:pPr>
              <w:autoSpaceDE w:val="0"/>
              <w:autoSpaceDN w:val="0"/>
              <w:adjustRightInd w:val="0"/>
            </w:pPr>
            <w:r w:rsidRPr="00257F1C">
              <w:rPr>
                <w:b/>
              </w:rPr>
              <w:t xml:space="preserve">“Suspected Breaches”: </w:t>
            </w:r>
            <w:r w:rsidR="00F96AF2" w:rsidRPr="00257F1C">
              <w:t xml:space="preserve">Requirement that BA </w:t>
            </w:r>
            <w:proofErr w:type="gramStart"/>
            <w:r w:rsidR="00F96AF2" w:rsidRPr="00257F1C">
              <w:t>inform</w:t>
            </w:r>
            <w:proofErr w:type="gramEnd"/>
            <w:r w:rsidR="00F96AF2" w:rsidRPr="00257F1C">
              <w:t xml:space="preserve"> CE of a “suspected” Breach of Unsecured PHI and permit CE to engage in breach analysis.</w:t>
            </w:r>
          </w:p>
        </w:tc>
        <w:tc>
          <w:tcPr>
            <w:tcW w:w="1774" w:type="dxa"/>
            <w:shd w:val="clear" w:color="auto" w:fill="auto"/>
          </w:tcPr>
          <w:p w:rsidR="00F96AF2" w:rsidRPr="00257F1C" w:rsidRDefault="00F96AF2" w:rsidP="009A6DF1">
            <w:pPr>
              <w:autoSpaceDE w:val="0"/>
              <w:autoSpaceDN w:val="0"/>
              <w:adjustRightInd w:val="0"/>
            </w:pPr>
          </w:p>
        </w:tc>
        <w:tc>
          <w:tcPr>
            <w:tcW w:w="1017" w:type="dxa"/>
            <w:shd w:val="clear" w:color="auto" w:fill="auto"/>
          </w:tcPr>
          <w:p w:rsidR="00F96AF2" w:rsidRPr="00257F1C" w:rsidRDefault="00F96AF2" w:rsidP="009A6DF1">
            <w:pPr>
              <w:autoSpaceDE w:val="0"/>
              <w:autoSpaceDN w:val="0"/>
              <w:adjustRightInd w:val="0"/>
            </w:pPr>
          </w:p>
        </w:tc>
      </w:tr>
      <w:tr w:rsidR="00890BB1" w:rsidRPr="00257F1C" w:rsidTr="009A6DF1">
        <w:tc>
          <w:tcPr>
            <w:tcW w:w="7037" w:type="dxa"/>
            <w:shd w:val="clear" w:color="auto" w:fill="auto"/>
          </w:tcPr>
          <w:p w:rsidR="00F96AF2" w:rsidRPr="00257F1C" w:rsidRDefault="00651BA6" w:rsidP="00965391">
            <w:pPr>
              <w:autoSpaceDE w:val="0"/>
              <w:autoSpaceDN w:val="0"/>
              <w:adjustRightInd w:val="0"/>
            </w:pPr>
            <w:r w:rsidRPr="00257F1C">
              <w:rPr>
                <w:b/>
              </w:rPr>
              <w:t xml:space="preserve">Broader Uses/Disclosures: </w:t>
            </w:r>
            <w:r w:rsidR="00F96AF2" w:rsidRPr="00257F1C">
              <w:t xml:space="preserve">Any permitted uses or disclosures of PHI that are broader than those listed in the Checklist above as “Required Terms.”  This may include, for example, permitting the use or disclosure of PHI for marketing, </w:t>
            </w:r>
            <w:r w:rsidR="00DE4529" w:rsidRPr="00257F1C">
              <w:t xml:space="preserve">fundraising, de-identification, limited data sets </w:t>
            </w:r>
            <w:r w:rsidR="00F96AF2" w:rsidRPr="00257F1C">
              <w:t>or research purposes.</w:t>
            </w:r>
            <w:r w:rsidR="00F81C79" w:rsidRPr="00257F1C">
              <w:t xml:space="preserve">  The BA is not permitted to </w:t>
            </w:r>
            <w:r w:rsidR="00965391">
              <w:t xml:space="preserve">engage in these activities unless </w:t>
            </w:r>
            <w:r w:rsidR="00535FB8" w:rsidRPr="00257F1C">
              <w:t xml:space="preserve">the </w:t>
            </w:r>
            <w:r w:rsidR="00F81C79" w:rsidRPr="00257F1C">
              <w:t>CE</w:t>
            </w:r>
            <w:r w:rsidR="00965391">
              <w:t xml:space="preserve"> has given BA permission to do so.</w:t>
            </w:r>
          </w:p>
        </w:tc>
        <w:tc>
          <w:tcPr>
            <w:tcW w:w="1774" w:type="dxa"/>
            <w:shd w:val="clear" w:color="auto" w:fill="auto"/>
          </w:tcPr>
          <w:p w:rsidR="00F96AF2" w:rsidRPr="00257F1C" w:rsidRDefault="00F96AF2" w:rsidP="009A6DF1">
            <w:pPr>
              <w:autoSpaceDE w:val="0"/>
              <w:autoSpaceDN w:val="0"/>
              <w:adjustRightInd w:val="0"/>
            </w:pPr>
          </w:p>
        </w:tc>
        <w:tc>
          <w:tcPr>
            <w:tcW w:w="1017" w:type="dxa"/>
            <w:shd w:val="clear" w:color="auto" w:fill="auto"/>
          </w:tcPr>
          <w:p w:rsidR="00F96AF2" w:rsidRPr="00257F1C" w:rsidRDefault="00F96AF2" w:rsidP="009A6DF1">
            <w:pPr>
              <w:autoSpaceDE w:val="0"/>
              <w:autoSpaceDN w:val="0"/>
              <w:adjustRightInd w:val="0"/>
            </w:pPr>
          </w:p>
        </w:tc>
      </w:tr>
      <w:tr w:rsidR="0072044B" w:rsidRPr="00257F1C" w:rsidTr="009A6DF1">
        <w:tc>
          <w:tcPr>
            <w:tcW w:w="7037" w:type="dxa"/>
            <w:shd w:val="clear" w:color="auto" w:fill="auto"/>
          </w:tcPr>
          <w:p w:rsidR="0072044B" w:rsidRPr="00257F1C" w:rsidRDefault="00651BA6" w:rsidP="00651BA6">
            <w:pPr>
              <w:autoSpaceDE w:val="0"/>
              <w:autoSpaceDN w:val="0"/>
              <w:adjustRightInd w:val="0"/>
            </w:pPr>
            <w:r w:rsidRPr="00257F1C">
              <w:rPr>
                <w:b/>
              </w:rPr>
              <w:t xml:space="preserve">More Specific Restrictions:  </w:t>
            </w:r>
            <w:r w:rsidR="0072044B" w:rsidRPr="00257F1C">
              <w:t xml:space="preserve">Provisions specifically addressing BA’s </w:t>
            </w:r>
            <w:r w:rsidR="0072044B" w:rsidRPr="00257F1C">
              <w:lastRenderedPageBreak/>
              <w:t>obligations under HIPAA with respect to marketing, fundraising, adhering to restricti</w:t>
            </w:r>
            <w:r w:rsidR="00DE36A1">
              <w:t xml:space="preserve">ons on disclosures, selling PHI, minimum necessary policies and procedures </w:t>
            </w:r>
            <w:r w:rsidR="0072044B" w:rsidRPr="00257F1C">
              <w:t>and other restrictions that apply to BA regardless of whethe</w:t>
            </w:r>
            <w:r w:rsidR="002D2C02" w:rsidRPr="00257F1C">
              <w:t>r they are mentioned in the BAA.</w:t>
            </w:r>
            <w:r w:rsidR="0072044B" w:rsidRPr="00257F1C">
              <w:t xml:space="preserve"> </w:t>
            </w:r>
          </w:p>
        </w:tc>
        <w:tc>
          <w:tcPr>
            <w:tcW w:w="1774" w:type="dxa"/>
            <w:shd w:val="clear" w:color="auto" w:fill="auto"/>
          </w:tcPr>
          <w:p w:rsidR="0072044B" w:rsidRPr="00257F1C" w:rsidRDefault="0072044B" w:rsidP="009A6DF1">
            <w:pPr>
              <w:autoSpaceDE w:val="0"/>
              <w:autoSpaceDN w:val="0"/>
              <w:adjustRightInd w:val="0"/>
            </w:pPr>
          </w:p>
        </w:tc>
        <w:tc>
          <w:tcPr>
            <w:tcW w:w="1017" w:type="dxa"/>
            <w:shd w:val="clear" w:color="auto" w:fill="auto"/>
          </w:tcPr>
          <w:p w:rsidR="0072044B" w:rsidRPr="00257F1C" w:rsidRDefault="0072044B" w:rsidP="009A6DF1">
            <w:pPr>
              <w:autoSpaceDE w:val="0"/>
              <w:autoSpaceDN w:val="0"/>
              <w:adjustRightInd w:val="0"/>
            </w:pPr>
          </w:p>
        </w:tc>
      </w:tr>
      <w:tr w:rsidR="00890BB1" w:rsidRPr="00257F1C" w:rsidTr="009A6DF1">
        <w:tc>
          <w:tcPr>
            <w:tcW w:w="7037" w:type="dxa"/>
            <w:tcBorders>
              <w:bottom w:val="single" w:sz="4" w:space="0" w:color="auto"/>
            </w:tcBorders>
            <w:shd w:val="clear" w:color="auto" w:fill="auto"/>
          </w:tcPr>
          <w:p w:rsidR="00F96AF2" w:rsidRPr="00257F1C" w:rsidRDefault="00651BA6" w:rsidP="009A6DF1">
            <w:pPr>
              <w:autoSpaceDE w:val="0"/>
              <w:autoSpaceDN w:val="0"/>
              <w:adjustRightInd w:val="0"/>
            </w:pPr>
            <w:r w:rsidRPr="00257F1C">
              <w:rPr>
                <w:b/>
              </w:rPr>
              <w:lastRenderedPageBreak/>
              <w:t xml:space="preserve">Indemnification: </w:t>
            </w:r>
            <w:r w:rsidR="00F96AF2" w:rsidRPr="00257F1C">
              <w:t>Indemnification provisions</w:t>
            </w:r>
            <w:r w:rsidR="00EC5739" w:rsidRPr="00257F1C">
              <w:t xml:space="preserve"> (one-way or mutual).</w:t>
            </w:r>
          </w:p>
        </w:tc>
        <w:tc>
          <w:tcPr>
            <w:tcW w:w="1774" w:type="dxa"/>
            <w:tcBorders>
              <w:bottom w:val="single" w:sz="4" w:space="0" w:color="auto"/>
            </w:tcBorders>
            <w:shd w:val="clear" w:color="auto" w:fill="auto"/>
          </w:tcPr>
          <w:p w:rsidR="00F96AF2" w:rsidRPr="00257F1C" w:rsidRDefault="00F96AF2" w:rsidP="009A6DF1">
            <w:pPr>
              <w:autoSpaceDE w:val="0"/>
              <w:autoSpaceDN w:val="0"/>
              <w:adjustRightInd w:val="0"/>
            </w:pPr>
          </w:p>
        </w:tc>
        <w:tc>
          <w:tcPr>
            <w:tcW w:w="1017" w:type="dxa"/>
            <w:tcBorders>
              <w:bottom w:val="single" w:sz="4" w:space="0" w:color="auto"/>
            </w:tcBorders>
            <w:shd w:val="clear" w:color="auto" w:fill="auto"/>
          </w:tcPr>
          <w:p w:rsidR="00F96AF2" w:rsidRPr="00257F1C" w:rsidRDefault="00F96AF2" w:rsidP="009A6DF1">
            <w:pPr>
              <w:autoSpaceDE w:val="0"/>
              <w:autoSpaceDN w:val="0"/>
              <w:adjustRightInd w:val="0"/>
            </w:pPr>
          </w:p>
        </w:tc>
      </w:tr>
      <w:tr w:rsidR="00890BB1" w:rsidRPr="00257F1C" w:rsidTr="009A6DF1">
        <w:tc>
          <w:tcPr>
            <w:tcW w:w="7037" w:type="dxa"/>
            <w:shd w:val="clear" w:color="auto" w:fill="auto"/>
          </w:tcPr>
          <w:p w:rsidR="00F96AF2" w:rsidRPr="00257F1C" w:rsidRDefault="00651BA6" w:rsidP="004F2542">
            <w:pPr>
              <w:autoSpaceDE w:val="0"/>
              <w:autoSpaceDN w:val="0"/>
              <w:adjustRightInd w:val="0"/>
            </w:pPr>
            <w:r w:rsidRPr="00257F1C">
              <w:rPr>
                <w:b/>
              </w:rPr>
              <w:t xml:space="preserve">Insurance: </w:t>
            </w:r>
            <w:r w:rsidR="00F96AF2" w:rsidRPr="00257F1C">
              <w:t xml:space="preserve">Insurance </w:t>
            </w:r>
            <w:r w:rsidR="004F2542" w:rsidRPr="00257F1C">
              <w:t>by BA to protect CE against BA’s violations.</w:t>
            </w:r>
          </w:p>
        </w:tc>
        <w:tc>
          <w:tcPr>
            <w:tcW w:w="1774" w:type="dxa"/>
            <w:shd w:val="clear" w:color="auto" w:fill="auto"/>
          </w:tcPr>
          <w:p w:rsidR="00F96AF2" w:rsidRPr="00257F1C" w:rsidRDefault="00F96AF2" w:rsidP="009A6DF1">
            <w:pPr>
              <w:autoSpaceDE w:val="0"/>
              <w:autoSpaceDN w:val="0"/>
              <w:adjustRightInd w:val="0"/>
            </w:pPr>
          </w:p>
        </w:tc>
        <w:tc>
          <w:tcPr>
            <w:tcW w:w="1017" w:type="dxa"/>
            <w:shd w:val="clear" w:color="auto" w:fill="auto"/>
          </w:tcPr>
          <w:p w:rsidR="00F96AF2" w:rsidRPr="00257F1C" w:rsidRDefault="00F96AF2" w:rsidP="009A6DF1">
            <w:pPr>
              <w:autoSpaceDE w:val="0"/>
              <w:autoSpaceDN w:val="0"/>
              <w:adjustRightInd w:val="0"/>
            </w:pPr>
          </w:p>
        </w:tc>
      </w:tr>
      <w:tr w:rsidR="00890BB1" w:rsidRPr="00257F1C" w:rsidTr="009A6DF1">
        <w:tc>
          <w:tcPr>
            <w:tcW w:w="7037" w:type="dxa"/>
            <w:shd w:val="clear" w:color="auto" w:fill="auto"/>
          </w:tcPr>
          <w:p w:rsidR="00F96AF2" w:rsidRPr="00257F1C" w:rsidRDefault="00651BA6" w:rsidP="00A90AAB">
            <w:pPr>
              <w:autoSpaceDE w:val="0"/>
              <w:autoSpaceDN w:val="0"/>
              <w:adjustRightInd w:val="0"/>
            </w:pPr>
            <w:r w:rsidRPr="00257F1C">
              <w:rPr>
                <w:b/>
              </w:rPr>
              <w:t>Third Party Beneficiaries:</w:t>
            </w:r>
            <w:r w:rsidRPr="00257F1C">
              <w:t xml:space="preserve"> </w:t>
            </w:r>
            <w:r w:rsidR="00F96AF2" w:rsidRPr="00257F1C">
              <w:t xml:space="preserve">Third party beneficiaries created or </w:t>
            </w:r>
            <w:r w:rsidR="00A90AAB" w:rsidRPr="00257F1C">
              <w:t>prohibited.</w:t>
            </w:r>
          </w:p>
        </w:tc>
        <w:tc>
          <w:tcPr>
            <w:tcW w:w="1774" w:type="dxa"/>
            <w:shd w:val="clear" w:color="auto" w:fill="auto"/>
          </w:tcPr>
          <w:p w:rsidR="00F96AF2" w:rsidRPr="00257F1C" w:rsidRDefault="00F96AF2" w:rsidP="009A6DF1">
            <w:pPr>
              <w:autoSpaceDE w:val="0"/>
              <w:autoSpaceDN w:val="0"/>
              <w:adjustRightInd w:val="0"/>
            </w:pPr>
          </w:p>
        </w:tc>
        <w:tc>
          <w:tcPr>
            <w:tcW w:w="1017" w:type="dxa"/>
            <w:shd w:val="clear" w:color="auto" w:fill="auto"/>
          </w:tcPr>
          <w:p w:rsidR="00F96AF2" w:rsidRPr="00257F1C" w:rsidRDefault="00F96AF2" w:rsidP="009A6DF1">
            <w:pPr>
              <w:autoSpaceDE w:val="0"/>
              <w:autoSpaceDN w:val="0"/>
              <w:adjustRightInd w:val="0"/>
            </w:pPr>
          </w:p>
        </w:tc>
      </w:tr>
      <w:tr w:rsidR="00890BB1" w:rsidRPr="00257F1C" w:rsidTr="009A6DF1">
        <w:tc>
          <w:tcPr>
            <w:tcW w:w="7037" w:type="dxa"/>
            <w:shd w:val="clear" w:color="auto" w:fill="auto"/>
          </w:tcPr>
          <w:p w:rsidR="00F96AF2" w:rsidRPr="00257F1C" w:rsidRDefault="00651BA6" w:rsidP="009A6DF1">
            <w:pPr>
              <w:autoSpaceDE w:val="0"/>
              <w:autoSpaceDN w:val="0"/>
              <w:adjustRightInd w:val="0"/>
            </w:pPr>
            <w:r w:rsidRPr="00257F1C">
              <w:rPr>
                <w:b/>
              </w:rPr>
              <w:t>Assignment:</w:t>
            </w:r>
            <w:r w:rsidRPr="00257F1C">
              <w:t xml:space="preserve"> </w:t>
            </w:r>
            <w:r w:rsidR="00F96AF2" w:rsidRPr="00257F1C">
              <w:t>Assignment</w:t>
            </w:r>
            <w:r w:rsidR="00EC5739" w:rsidRPr="00257F1C">
              <w:t xml:space="preserve"> prohibited or permitted.</w:t>
            </w:r>
          </w:p>
        </w:tc>
        <w:tc>
          <w:tcPr>
            <w:tcW w:w="1774" w:type="dxa"/>
            <w:shd w:val="clear" w:color="auto" w:fill="auto"/>
          </w:tcPr>
          <w:p w:rsidR="00F96AF2" w:rsidRPr="00257F1C" w:rsidRDefault="00F96AF2" w:rsidP="009A6DF1">
            <w:pPr>
              <w:autoSpaceDE w:val="0"/>
              <w:autoSpaceDN w:val="0"/>
              <w:adjustRightInd w:val="0"/>
            </w:pPr>
          </w:p>
        </w:tc>
        <w:tc>
          <w:tcPr>
            <w:tcW w:w="1017" w:type="dxa"/>
            <w:shd w:val="clear" w:color="auto" w:fill="auto"/>
          </w:tcPr>
          <w:p w:rsidR="00F96AF2" w:rsidRPr="00257F1C" w:rsidRDefault="00F96AF2" w:rsidP="009A6DF1">
            <w:pPr>
              <w:autoSpaceDE w:val="0"/>
              <w:autoSpaceDN w:val="0"/>
              <w:adjustRightInd w:val="0"/>
            </w:pPr>
          </w:p>
        </w:tc>
      </w:tr>
      <w:tr w:rsidR="00F96AF2" w:rsidRPr="00257F1C" w:rsidTr="009A6DF1">
        <w:tc>
          <w:tcPr>
            <w:tcW w:w="7037" w:type="dxa"/>
            <w:shd w:val="clear" w:color="auto" w:fill="auto"/>
          </w:tcPr>
          <w:p w:rsidR="00F96AF2" w:rsidRPr="00257F1C" w:rsidRDefault="00651BA6" w:rsidP="009A6DF1">
            <w:pPr>
              <w:autoSpaceDE w:val="0"/>
              <w:autoSpaceDN w:val="0"/>
              <w:adjustRightInd w:val="0"/>
            </w:pPr>
            <w:r w:rsidRPr="00257F1C">
              <w:rPr>
                <w:b/>
              </w:rPr>
              <w:t>Audits:</w:t>
            </w:r>
            <w:r w:rsidRPr="00257F1C">
              <w:t xml:space="preserve"> </w:t>
            </w:r>
            <w:r w:rsidR="00F96AF2" w:rsidRPr="00257F1C">
              <w:t>Provisions obligating BA to allow CE to engage in periodic audits or inspections of the BA</w:t>
            </w:r>
          </w:p>
        </w:tc>
        <w:tc>
          <w:tcPr>
            <w:tcW w:w="1774" w:type="dxa"/>
            <w:shd w:val="clear" w:color="auto" w:fill="auto"/>
          </w:tcPr>
          <w:p w:rsidR="00F96AF2" w:rsidRPr="00257F1C" w:rsidRDefault="00F96AF2" w:rsidP="009A6DF1">
            <w:pPr>
              <w:autoSpaceDE w:val="0"/>
              <w:autoSpaceDN w:val="0"/>
              <w:adjustRightInd w:val="0"/>
            </w:pPr>
          </w:p>
        </w:tc>
        <w:tc>
          <w:tcPr>
            <w:tcW w:w="1017" w:type="dxa"/>
            <w:shd w:val="clear" w:color="auto" w:fill="auto"/>
          </w:tcPr>
          <w:p w:rsidR="00F96AF2" w:rsidRPr="00257F1C" w:rsidRDefault="00F96AF2" w:rsidP="009A6DF1">
            <w:pPr>
              <w:autoSpaceDE w:val="0"/>
              <w:autoSpaceDN w:val="0"/>
              <w:adjustRightInd w:val="0"/>
            </w:pPr>
          </w:p>
        </w:tc>
      </w:tr>
      <w:tr w:rsidR="00F96AF2" w:rsidRPr="00257F1C" w:rsidTr="009A6DF1">
        <w:tc>
          <w:tcPr>
            <w:tcW w:w="7037" w:type="dxa"/>
            <w:shd w:val="clear" w:color="auto" w:fill="auto"/>
          </w:tcPr>
          <w:p w:rsidR="00F96AF2" w:rsidRPr="00257F1C" w:rsidRDefault="00651BA6" w:rsidP="006E19C7">
            <w:pPr>
              <w:autoSpaceDE w:val="0"/>
              <w:autoSpaceDN w:val="0"/>
              <w:adjustRightInd w:val="0"/>
            </w:pPr>
            <w:r w:rsidRPr="00257F1C">
              <w:rPr>
                <w:b/>
              </w:rPr>
              <w:t xml:space="preserve">Penalties; Injunctions: </w:t>
            </w:r>
            <w:r w:rsidR="00F96AF2" w:rsidRPr="00257F1C">
              <w:t>Imposition of penalties in the event of a breach or unauthorized disclosure of PHI</w:t>
            </w:r>
            <w:r w:rsidR="006E19C7" w:rsidRPr="00257F1C">
              <w:t xml:space="preserve"> by BA</w:t>
            </w:r>
            <w:r w:rsidR="00F96AF2" w:rsidRPr="00257F1C">
              <w:t>, such as liquidated damages</w:t>
            </w:r>
            <w:r w:rsidR="00D62732" w:rsidRPr="00257F1C">
              <w:t>, or provisions establishing specific performance/equitable relief for CE in event of a violation.</w:t>
            </w:r>
          </w:p>
        </w:tc>
        <w:tc>
          <w:tcPr>
            <w:tcW w:w="1774" w:type="dxa"/>
            <w:shd w:val="clear" w:color="auto" w:fill="auto"/>
          </w:tcPr>
          <w:p w:rsidR="00F96AF2" w:rsidRPr="00257F1C" w:rsidRDefault="00F96AF2" w:rsidP="009A6DF1">
            <w:pPr>
              <w:autoSpaceDE w:val="0"/>
              <w:autoSpaceDN w:val="0"/>
              <w:adjustRightInd w:val="0"/>
            </w:pPr>
          </w:p>
        </w:tc>
        <w:tc>
          <w:tcPr>
            <w:tcW w:w="1017" w:type="dxa"/>
            <w:shd w:val="clear" w:color="auto" w:fill="auto"/>
          </w:tcPr>
          <w:p w:rsidR="00F96AF2" w:rsidRPr="00257F1C" w:rsidRDefault="00F96AF2" w:rsidP="009A6DF1">
            <w:pPr>
              <w:autoSpaceDE w:val="0"/>
              <w:autoSpaceDN w:val="0"/>
              <w:adjustRightInd w:val="0"/>
            </w:pPr>
          </w:p>
        </w:tc>
      </w:tr>
      <w:tr w:rsidR="00F96AF2" w:rsidRPr="00257F1C" w:rsidTr="009A6DF1">
        <w:tc>
          <w:tcPr>
            <w:tcW w:w="7037" w:type="dxa"/>
            <w:shd w:val="clear" w:color="auto" w:fill="auto"/>
          </w:tcPr>
          <w:p w:rsidR="00F96AF2" w:rsidRPr="00257F1C" w:rsidRDefault="00651BA6" w:rsidP="009A6DF1">
            <w:pPr>
              <w:autoSpaceDE w:val="0"/>
              <w:autoSpaceDN w:val="0"/>
              <w:adjustRightInd w:val="0"/>
            </w:pPr>
            <w:r w:rsidRPr="00257F1C">
              <w:rPr>
                <w:b/>
              </w:rPr>
              <w:t>Representations:</w:t>
            </w:r>
            <w:r w:rsidRPr="00257F1C">
              <w:t xml:space="preserve"> </w:t>
            </w:r>
            <w:r w:rsidR="00F83C00" w:rsidRPr="00257F1C">
              <w:t>Warranties and representations that BA complies with HIPAA Security Rule and applicable provisions of Privacy Rule.</w:t>
            </w:r>
          </w:p>
        </w:tc>
        <w:tc>
          <w:tcPr>
            <w:tcW w:w="1774" w:type="dxa"/>
            <w:shd w:val="clear" w:color="auto" w:fill="auto"/>
          </w:tcPr>
          <w:p w:rsidR="00F96AF2" w:rsidRPr="00257F1C" w:rsidRDefault="00F96AF2" w:rsidP="009A6DF1">
            <w:pPr>
              <w:autoSpaceDE w:val="0"/>
              <w:autoSpaceDN w:val="0"/>
              <w:adjustRightInd w:val="0"/>
            </w:pPr>
          </w:p>
        </w:tc>
        <w:tc>
          <w:tcPr>
            <w:tcW w:w="1017" w:type="dxa"/>
            <w:shd w:val="clear" w:color="auto" w:fill="auto"/>
          </w:tcPr>
          <w:p w:rsidR="00F96AF2" w:rsidRPr="00257F1C" w:rsidRDefault="00F96AF2" w:rsidP="009A6DF1">
            <w:pPr>
              <w:autoSpaceDE w:val="0"/>
              <w:autoSpaceDN w:val="0"/>
              <w:adjustRightInd w:val="0"/>
            </w:pPr>
          </w:p>
        </w:tc>
      </w:tr>
      <w:tr w:rsidR="00F96AF2" w:rsidRPr="00257F1C" w:rsidTr="009A6DF1">
        <w:tc>
          <w:tcPr>
            <w:tcW w:w="7037" w:type="dxa"/>
            <w:shd w:val="clear" w:color="auto" w:fill="auto"/>
          </w:tcPr>
          <w:p w:rsidR="00F96AF2" w:rsidRPr="00257F1C" w:rsidRDefault="00651BA6" w:rsidP="009A6DF1">
            <w:pPr>
              <w:autoSpaceDE w:val="0"/>
              <w:autoSpaceDN w:val="0"/>
              <w:adjustRightInd w:val="0"/>
            </w:pPr>
            <w:r w:rsidRPr="00257F1C">
              <w:rPr>
                <w:b/>
              </w:rPr>
              <w:t xml:space="preserve">HITECH Amendments: </w:t>
            </w:r>
            <w:r w:rsidR="00F83C00" w:rsidRPr="00257F1C">
              <w:t>Commitment by BA to comply with HITECH-based regulatory changes to HIPAA provisions in the future.</w:t>
            </w:r>
          </w:p>
        </w:tc>
        <w:tc>
          <w:tcPr>
            <w:tcW w:w="1774" w:type="dxa"/>
            <w:shd w:val="clear" w:color="auto" w:fill="auto"/>
          </w:tcPr>
          <w:p w:rsidR="00F96AF2" w:rsidRPr="00257F1C" w:rsidRDefault="00F96AF2" w:rsidP="009A6DF1">
            <w:pPr>
              <w:autoSpaceDE w:val="0"/>
              <w:autoSpaceDN w:val="0"/>
              <w:adjustRightInd w:val="0"/>
            </w:pPr>
          </w:p>
        </w:tc>
        <w:tc>
          <w:tcPr>
            <w:tcW w:w="1017" w:type="dxa"/>
            <w:shd w:val="clear" w:color="auto" w:fill="auto"/>
          </w:tcPr>
          <w:p w:rsidR="00F96AF2" w:rsidRPr="00257F1C" w:rsidRDefault="00F96AF2" w:rsidP="009A6DF1">
            <w:pPr>
              <w:autoSpaceDE w:val="0"/>
              <w:autoSpaceDN w:val="0"/>
              <w:adjustRightInd w:val="0"/>
            </w:pPr>
          </w:p>
        </w:tc>
      </w:tr>
      <w:tr w:rsidR="00F83C00" w:rsidRPr="00257F1C" w:rsidTr="009A6DF1">
        <w:tc>
          <w:tcPr>
            <w:tcW w:w="7037" w:type="dxa"/>
            <w:shd w:val="clear" w:color="auto" w:fill="auto"/>
          </w:tcPr>
          <w:p w:rsidR="00F83C00" w:rsidRPr="00257F1C" w:rsidRDefault="00651BA6" w:rsidP="009A6DF1">
            <w:pPr>
              <w:autoSpaceDE w:val="0"/>
              <w:autoSpaceDN w:val="0"/>
              <w:adjustRightInd w:val="0"/>
            </w:pPr>
            <w:r w:rsidRPr="00257F1C">
              <w:rPr>
                <w:b/>
              </w:rPr>
              <w:t>Workforce:</w:t>
            </w:r>
            <w:r w:rsidRPr="00257F1C">
              <w:t xml:space="preserve"> </w:t>
            </w:r>
            <w:r w:rsidR="00F83C00" w:rsidRPr="00257F1C">
              <w:t>Agreement by BA that its workforce will comply with applicable HIPAA provisions</w:t>
            </w:r>
            <w:r w:rsidR="00F34AD3" w:rsidRPr="00257F1C">
              <w:t>.</w:t>
            </w:r>
          </w:p>
        </w:tc>
        <w:tc>
          <w:tcPr>
            <w:tcW w:w="1774" w:type="dxa"/>
            <w:shd w:val="clear" w:color="auto" w:fill="auto"/>
          </w:tcPr>
          <w:p w:rsidR="00F83C00" w:rsidRPr="00257F1C" w:rsidRDefault="00F83C00" w:rsidP="009A6DF1">
            <w:pPr>
              <w:autoSpaceDE w:val="0"/>
              <w:autoSpaceDN w:val="0"/>
              <w:adjustRightInd w:val="0"/>
            </w:pPr>
          </w:p>
        </w:tc>
        <w:tc>
          <w:tcPr>
            <w:tcW w:w="1017" w:type="dxa"/>
            <w:shd w:val="clear" w:color="auto" w:fill="auto"/>
          </w:tcPr>
          <w:p w:rsidR="00F83C00" w:rsidRPr="00257F1C" w:rsidRDefault="00F83C00" w:rsidP="009A6DF1">
            <w:pPr>
              <w:autoSpaceDE w:val="0"/>
              <w:autoSpaceDN w:val="0"/>
              <w:adjustRightInd w:val="0"/>
            </w:pPr>
          </w:p>
        </w:tc>
      </w:tr>
      <w:tr w:rsidR="00F83C00" w:rsidRPr="00257F1C" w:rsidTr="009A6DF1">
        <w:tc>
          <w:tcPr>
            <w:tcW w:w="7037" w:type="dxa"/>
            <w:shd w:val="clear" w:color="auto" w:fill="auto"/>
          </w:tcPr>
          <w:p w:rsidR="00F83C00" w:rsidRPr="00257F1C" w:rsidRDefault="00651BA6" w:rsidP="009A6DF1">
            <w:pPr>
              <w:autoSpaceDE w:val="0"/>
              <w:autoSpaceDN w:val="0"/>
              <w:adjustRightInd w:val="0"/>
            </w:pPr>
            <w:r w:rsidRPr="00257F1C">
              <w:rPr>
                <w:b/>
              </w:rPr>
              <w:t>Mitigation:</w:t>
            </w:r>
            <w:r w:rsidRPr="00257F1C">
              <w:t xml:space="preserve"> </w:t>
            </w:r>
            <w:r w:rsidR="00F34AD3" w:rsidRPr="00257F1C">
              <w:t xml:space="preserve">Requirement that BA </w:t>
            </w:r>
            <w:proofErr w:type="gramStart"/>
            <w:r w:rsidR="00F34AD3" w:rsidRPr="00257F1C">
              <w:t>mitigate</w:t>
            </w:r>
            <w:proofErr w:type="gramEnd"/>
            <w:r w:rsidR="00F34AD3" w:rsidRPr="00257F1C">
              <w:t xml:space="preserve"> any harmful effects of impermissible use/disclosure.</w:t>
            </w:r>
          </w:p>
        </w:tc>
        <w:tc>
          <w:tcPr>
            <w:tcW w:w="1774" w:type="dxa"/>
            <w:shd w:val="clear" w:color="auto" w:fill="auto"/>
          </w:tcPr>
          <w:p w:rsidR="00F83C00" w:rsidRPr="00257F1C" w:rsidRDefault="00F83C00" w:rsidP="009A6DF1">
            <w:pPr>
              <w:autoSpaceDE w:val="0"/>
              <w:autoSpaceDN w:val="0"/>
              <w:adjustRightInd w:val="0"/>
            </w:pPr>
          </w:p>
        </w:tc>
        <w:tc>
          <w:tcPr>
            <w:tcW w:w="1017" w:type="dxa"/>
            <w:shd w:val="clear" w:color="auto" w:fill="auto"/>
          </w:tcPr>
          <w:p w:rsidR="00F83C00" w:rsidRPr="00257F1C" w:rsidRDefault="00F83C00" w:rsidP="009A6DF1">
            <w:pPr>
              <w:autoSpaceDE w:val="0"/>
              <w:autoSpaceDN w:val="0"/>
              <w:adjustRightInd w:val="0"/>
            </w:pPr>
          </w:p>
        </w:tc>
      </w:tr>
      <w:tr w:rsidR="00F83C00" w:rsidRPr="00257F1C" w:rsidTr="009A6DF1">
        <w:tc>
          <w:tcPr>
            <w:tcW w:w="7037" w:type="dxa"/>
            <w:shd w:val="clear" w:color="auto" w:fill="auto"/>
          </w:tcPr>
          <w:p w:rsidR="00F83C00" w:rsidRPr="00257F1C" w:rsidRDefault="00651BA6" w:rsidP="009A6DF1">
            <w:pPr>
              <w:autoSpaceDE w:val="0"/>
              <w:autoSpaceDN w:val="0"/>
              <w:adjustRightInd w:val="0"/>
            </w:pPr>
            <w:r w:rsidRPr="00257F1C">
              <w:rPr>
                <w:b/>
              </w:rPr>
              <w:t>Restrictions on Subcontractors:</w:t>
            </w:r>
            <w:r w:rsidRPr="00257F1C">
              <w:t xml:space="preserve"> </w:t>
            </w:r>
            <w:r w:rsidR="00A15A01">
              <w:t>As an alternative to the “S</w:t>
            </w:r>
            <w:r w:rsidR="00F850BE" w:rsidRPr="00257F1C">
              <w:t xml:space="preserve">ubcontractors” provision </w:t>
            </w:r>
            <w:r w:rsidR="006E19C7" w:rsidRPr="00257F1C">
              <w:t xml:space="preserve">in the “Required Terms” section </w:t>
            </w:r>
            <w:r w:rsidR="00F850BE" w:rsidRPr="00257F1C">
              <w:t>above, CEs may prohibit BAs from using subcontractors altogether or may attempt to require BA to use a particular form of Subcontractor BAA with subcontractors.</w:t>
            </w:r>
            <w:r w:rsidRPr="00257F1C">
              <w:t xml:space="preserve">  CEs may prohibit BA from using subcontractors that are outside of the U.S. or not subject to jurisdiction in U.S. courts.</w:t>
            </w:r>
          </w:p>
        </w:tc>
        <w:tc>
          <w:tcPr>
            <w:tcW w:w="1774" w:type="dxa"/>
            <w:shd w:val="clear" w:color="auto" w:fill="auto"/>
          </w:tcPr>
          <w:p w:rsidR="00F83C00" w:rsidRPr="00257F1C" w:rsidRDefault="00F83C00" w:rsidP="009A6DF1">
            <w:pPr>
              <w:autoSpaceDE w:val="0"/>
              <w:autoSpaceDN w:val="0"/>
              <w:adjustRightInd w:val="0"/>
            </w:pPr>
          </w:p>
        </w:tc>
        <w:tc>
          <w:tcPr>
            <w:tcW w:w="1017" w:type="dxa"/>
            <w:shd w:val="clear" w:color="auto" w:fill="auto"/>
          </w:tcPr>
          <w:p w:rsidR="00F83C00" w:rsidRPr="00257F1C" w:rsidRDefault="00F83C00" w:rsidP="009A6DF1">
            <w:pPr>
              <w:autoSpaceDE w:val="0"/>
              <w:autoSpaceDN w:val="0"/>
              <w:adjustRightInd w:val="0"/>
            </w:pPr>
          </w:p>
        </w:tc>
      </w:tr>
      <w:tr w:rsidR="00E157EC" w:rsidRPr="00257F1C" w:rsidTr="009A6DF1">
        <w:tc>
          <w:tcPr>
            <w:tcW w:w="7037" w:type="dxa"/>
            <w:shd w:val="clear" w:color="auto" w:fill="auto"/>
          </w:tcPr>
          <w:p w:rsidR="00E157EC" w:rsidRPr="00257F1C" w:rsidRDefault="00651BA6" w:rsidP="009A6DF1">
            <w:pPr>
              <w:autoSpaceDE w:val="0"/>
              <w:autoSpaceDN w:val="0"/>
              <w:adjustRightInd w:val="0"/>
            </w:pPr>
            <w:r w:rsidRPr="00257F1C">
              <w:rPr>
                <w:b/>
              </w:rPr>
              <w:t>Notifications:</w:t>
            </w:r>
            <w:r w:rsidRPr="00257F1C">
              <w:t xml:space="preserve"> </w:t>
            </w:r>
            <w:r w:rsidR="00E157EC" w:rsidRPr="00257F1C">
              <w:t xml:space="preserve">Provisions under which CE informs BA about: (1) CE’s notice of privacy practices; (2) revocation of permission by an individual that affects BA’s ability to use or disclose PHI; </w:t>
            </w:r>
            <w:r w:rsidR="00BE1C4D" w:rsidRPr="00257F1C">
              <w:t xml:space="preserve">and </w:t>
            </w:r>
            <w:r w:rsidR="00E157EC" w:rsidRPr="00257F1C">
              <w:t>(3) any restrictions on use or disclosure of PHI to which CE agrees and that affect BA’s activities</w:t>
            </w:r>
            <w:r w:rsidR="00BE1C4D" w:rsidRPr="00257F1C">
              <w:t>.</w:t>
            </w:r>
          </w:p>
        </w:tc>
        <w:tc>
          <w:tcPr>
            <w:tcW w:w="1774" w:type="dxa"/>
            <w:shd w:val="clear" w:color="auto" w:fill="auto"/>
          </w:tcPr>
          <w:p w:rsidR="00E157EC" w:rsidRPr="00257F1C" w:rsidRDefault="00E157EC" w:rsidP="009A6DF1">
            <w:pPr>
              <w:autoSpaceDE w:val="0"/>
              <w:autoSpaceDN w:val="0"/>
              <w:adjustRightInd w:val="0"/>
            </w:pPr>
          </w:p>
        </w:tc>
        <w:tc>
          <w:tcPr>
            <w:tcW w:w="1017" w:type="dxa"/>
            <w:shd w:val="clear" w:color="auto" w:fill="auto"/>
          </w:tcPr>
          <w:p w:rsidR="00E157EC" w:rsidRPr="00257F1C" w:rsidRDefault="00E157EC" w:rsidP="009A6DF1">
            <w:pPr>
              <w:autoSpaceDE w:val="0"/>
              <w:autoSpaceDN w:val="0"/>
              <w:adjustRightInd w:val="0"/>
            </w:pPr>
          </w:p>
        </w:tc>
      </w:tr>
      <w:tr w:rsidR="00C17E0B" w:rsidRPr="00257F1C" w:rsidTr="009A6DF1">
        <w:tc>
          <w:tcPr>
            <w:tcW w:w="7037" w:type="dxa"/>
            <w:shd w:val="clear" w:color="auto" w:fill="auto"/>
          </w:tcPr>
          <w:p w:rsidR="00C17E0B" w:rsidRPr="00257F1C" w:rsidRDefault="00651BA6" w:rsidP="00C17E0B">
            <w:pPr>
              <w:autoSpaceDE w:val="0"/>
              <w:autoSpaceDN w:val="0"/>
              <w:adjustRightInd w:val="0"/>
            </w:pPr>
            <w:r w:rsidRPr="00257F1C">
              <w:rPr>
                <w:b/>
              </w:rPr>
              <w:t xml:space="preserve">Definitions: </w:t>
            </w:r>
            <w:r w:rsidR="00C17E0B" w:rsidRPr="00257F1C">
              <w:t>Section of BAA setting forth defined terms; provided, however, that careful review is warranted if it appears BAA is using definitions that are different than those found in HIPAA.</w:t>
            </w:r>
          </w:p>
        </w:tc>
        <w:tc>
          <w:tcPr>
            <w:tcW w:w="1774" w:type="dxa"/>
            <w:shd w:val="clear" w:color="auto" w:fill="auto"/>
          </w:tcPr>
          <w:p w:rsidR="00C17E0B" w:rsidRPr="00257F1C" w:rsidRDefault="00C17E0B" w:rsidP="009A6DF1">
            <w:pPr>
              <w:autoSpaceDE w:val="0"/>
              <w:autoSpaceDN w:val="0"/>
              <w:adjustRightInd w:val="0"/>
            </w:pPr>
          </w:p>
        </w:tc>
        <w:tc>
          <w:tcPr>
            <w:tcW w:w="1017" w:type="dxa"/>
            <w:shd w:val="clear" w:color="auto" w:fill="auto"/>
          </w:tcPr>
          <w:p w:rsidR="00C17E0B" w:rsidRPr="00257F1C" w:rsidRDefault="00C17E0B" w:rsidP="009A6DF1">
            <w:pPr>
              <w:autoSpaceDE w:val="0"/>
              <w:autoSpaceDN w:val="0"/>
              <w:adjustRightInd w:val="0"/>
            </w:pPr>
          </w:p>
        </w:tc>
      </w:tr>
    </w:tbl>
    <w:p w:rsidR="00A41817" w:rsidRPr="00257F1C" w:rsidRDefault="00A41817" w:rsidP="00A41817"/>
    <w:p w:rsidR="00A41817" w:rsidRPr="00257F1C" w:rsidRDefault="00A41817"/>
    <w:sectPr w:rsidR="00A41817" w:rsidRPr="00257F1C" w:rsidSect="00F13C8A">
      <w:footerReference w:type="default" r:id="rId9"/>
      <w:pgSz w:w="12240" w:h="15840"/>
      <w:pgMar w:top="1008" w:right="1440" w:bottom="1008"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D09" w:rsidRDefault="00240D09" w:rsidP="00E431E2">
      <w:r>
        <w:separator/>
      </w:r>
    </w:p>
  </w:endnote>
  <w:endnote w:type="continuationSeparator" w:id="0">
    <w:p w:rsidR="00240D09" w:rsidRDefault="00240D09" w:rsidP="00E43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DF1" w:rsidRDefault="009A6DF1">
    <w:pPr>
      <w:pStyle w:val="Footer"/>
      <w:jc w:val="center"/>
    </w:pPr>
    <w:r>
      <w:fldChar w:fldCharType="begin"/>
    </w:r>
    <w:r>
      <w:instrText xml:space="preserve"> PAGE   \* MERGEFORMAT </w:instrText>
    </w:r>
    <w:r>
      <w:fldChar w:fldCharType="separate"/>
    </w:r>
    <w:r w:rsidR="000F6C80">
      <w:rPr>
        <w:noProof/>
      </w:rPr>
      <w:t>1</w:t>
    </w:r>
    <w:r>
      <w:rPr>
        <w:noProof/>
      </w:rPr>
      <w:fldChar w:fldCharType="end"/>
    </w:r>
  </w:p>
  <w:p w:rsidR="009A6DF1" w:rsidRDefault="009A6D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D09" w:rsidRDefault="00240D09" w:rsidP="00E431E2">
      <w:r>
        <w:separator/>
      </w:r>
    </w:p>
  </w:footnote>
  <w:footnote w:type="continuationSeparator" w:id="0">
    <w:p w:rsidR="00240D09" w:rsidRDefault="00240D09" w:rsidP="00E431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860B4"/>
    <w:multiLevelType w:val="multilevel"/>
    <w:tmpl w:val="1F78BACC"/>
    <w:lvl w:ilvl="0">
      <w:start w:val="1"/>
      <w:numFmt w:val="upperLetter"/>
      <w:pStyle w:val="Heading3"/>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b/>
        <w:i w:val="0"/>
      </w:rPr>
    </w:lvl>
    <w:lvl w:ilvl="2">
      <w:start w:val="1"/>
      <w:numFmt w:val="lowerLetter"/>
      <w:lvlText w:val="%3)"/>
      <w:lvlJc w:val="left"/>
      <w:pPr>
        <w:tabs>
          <w:tab w:val="num" w:pos="1800"/>
        </w:tabs>
        <w:ind w:left="144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PLegacyTrailerRemoved" w:val="True"/>
    <w:docVar w:name="zzmp10LastTrailerInserted" w:val="^`~#mp!@Q⌇9#L└┩915xŘmÎF⌓ƒ5⌙…æ⌈p(Î⌎‚§,ë×†âO!È^%Û⌖⌋â…Ú&quot;õa@ƅ¥Ô‭⌍P0³ˡèñÒ7Y%⌌,⌠L‧5Û[&lt;¾80ØU‟88⌛¹8ø&amp;m!x.dø[cX&quot;⌄&lt;W%?ÒAßæ®! 0⌆î+ÕòÃ5⌞!¹Ŧ⌜-¾.YAeŸì#TSäš⌖±&lt;+Í?[^?6bc011"/>
    <w:docVar w:name="zzmp10LastTrailerInserted_4347" w:val="^`~#mp!@Q⌇9#L└┩915xŘmÎF⌓ƒ5⌙…æ⌈p(Î⌎‚§,ë×†âO!È^%Û⌖⌋â…Ú&quot;õa@ƅ¥Ô‭⌍P0³ˡèñÒ7Y%⌌,⌠L‧5Û[&lt;¾80ØU‟88⌛¹8ø&amp;m!x.dø[cX&quot;⌄&lt;W%?ÒAßæ®! 0⌆î+ÕòÃ5⌞!¹Ŧ⌜-¾.YAeŸì#TSäš⌖±&lt;+Í?[^?6bc011"/>
    <w:docVar w:name="zzmp10mSEGsValidated" w:val="1"/>
  </w:docVars>
  <w:rsids>
    <w:rsidRoot w:val="00CA2713"/>
    <w:rsid w:val="00007B85"/>
    <w:rsid w:val="000208F2"/>
    <w:rsid w:val="00020E71"/>
    <w:rsid w:val="00036CC1"/>
    <w:rsid w:val="00042E97"/>
    <w:rsid w:val="000618A6"/>
    <w:rsid w:val="000634B2"/>
    <w:rsid w:val="0007312B"/>
    <w:rsid w:val="000740E1"/>
    <w:rsid w:val="00074104"/>
    <w:rsid w:val="000835F5"/>
    <w:rsid w:val="000870BD"/>
    <w:rsid w:val="0009165A"/>
    <w:rsid w:val="000B2C13"/>
    <w:rsid w:val="000B3443"/>
    <w:rsid w:val="000B38AD"/>
    <w:rsid w:val="000D33A6"/>
    <w:rsid w:val="000E7E6C"/>
    <w:rsid w:val="000F5DF9"/>
    <w:rsid w:val="000F6C80"/>
    <w:rsid w:val="00105FA5"/>
    <w:rsid w:val="00112115"/>
    <w:rsid w:val="001136F1"/>
    <w:rsid w:val="00127D30"/>
    <w:rsid w:val="0013502A"/>
    <w:rsid w:val="00141119"/>
    <w:rsid w:val="00151136"/>
    <w:rsid w:val="00155921"/>
    <w:rsid w:val="00162B61"/>
    <w:rsid w:val="00165D5E"/>
    <w:rsid w:val="00167492"/>
    <w:rsid w:val="00181351"/>
    <w:rsid w:val="00190AF1"/>
    <w:rsid w:val="00191626"/>
    <w:rsid w:val="001B1483"/>
    <w:rsid w:val="001C068D"/>
    <w:rsid w:val="001C1280"/>
    <w:rsid w:val="001D03E0"/>
    <w:rsid w:val="001D4B7A"/>
    <w:rsid w:val="001E2DC8"/>
    <w:rsid w:val="001F470C"/>
    <w:rsid w:val="00201A95"/>
    <w:rsid w:val="00204E41"/>
    <w:rsid w:val="00232E96"/>
    <w:rsid w:val="00240D09"/>
    <w:rsid w:val="00257F1C"/>
    <w:rsid w:val="00261517"/>
    <w:rsid w:val="00264534"/>
    <w:rsid w:val="00266B26"/>
    <w:rsid w:val="00270460"/>
    <w:rsid w:val="00282325"/>
    <w:rsid w:val="0029123F"/>
    <w:rsid w:val="002918D9"/>
    <w:rsid w:val="00297B6A"/>
    <w:rsid w:val="002A2A45"/>
    <w:rsid w:val="002A52F1"/>
    <w:rsid w:val="002C1015"/>
    <w:rsid w:val="002C10F8"/>
    <w:rsid w:val="002C14FA"/>
    <w:rsid w:val="002D2C02"/>
    <w:rsid w:val="002D3205"/>
    <w:rsid w:val="002E0D46"/>
    <w:rsid w:val="002E4230"/>
    <w:rsid w:val="002E4B46"/>
    <w:rsid w:val="002E69AC"/>
    <w:rsid w:val="0030300A"/>
    <w:rsid w:val="00307CE2"/>
    <w:rsid w:val="003541BA"/>
    <w:rsid w:val="0035762B"/>
    <w:rsid w:val="003757FC"/>
    <w:rsid w:val="00380C55"/>
    <w:rsid w:val="00384E58"/>
    <w:rsid w:val="003854FB"/>
    <w:rsid w:val="00386565"/>
    <w:rsid w:val="003914BD"/>
    <w:rsid w:val="00396A5F"/>
    <w:rsid w:val="003A1229"/>
    <w:rsid w:val="003A30C3"/>
    <w:rsid w:val="003D7AB8"/>
    <w:rsid w:val="003E6EEE"/>
    <w:rsid w:val="003F2662"/>
    <w:rsid w:val="003F3DA3"/>
    <w:rsid w:val="00403959"/>
    <w:rsid w:val="0042315D"/>
    <w:rsid w:val="004242DC"/>
    <w:rsid w:val="00430CF1"/>
    <w:rsid w:val="00463B66"/>
    <w:rsid w:val="004711DF"/>
    <w:rsid w:val="0047583A"/>
    <w:rsid w:val="004847DC"/>
    <w:rsid w:val="004909D5"/>
    <w:rsid w:val="00496F4F"/>
    <w:rsid w:val="004A13CF"/>
    <w:rsid w:val="004A6269"/>
    <w:rsid w:val="004B14FC"/>
    <w:rsid w:val="004B4F2A"/>
    <w:rsid w:val="004C0C39"/>
    <w:rsid w:val="004C4B96"/>
    <w:rsid w:val="004C606E"/>
    <w:rsid w:val="004E42FC"/>
    <w:rsid w:val="004F2542"/>
    <w:rsid w:val="004F459A"/>
    <w:rsid w:val="00500713"/>
    <w:rsid w:val="00501CA1"/>
    <w:rsid w:val="00506C82"/>
    <w:rsid w:val="005146DB"/>
    <w:rsid w:val="00516F61"/>
    <w:rsid w:val="00524ED9"/>
    <w:rsid w:val="00530A4A"/>
    <w:rsid w:val="00532227"/>
    <w:rsid w:val="00535FB8"/>
    <w:rsid w:val="00552DEE"/>
    <w:rsid w:val="00564514"/>
    <w:rsid w:val="00567DC4"/>
    <w:rsid w:val="00586EF7"/>
    <w:rsid w:val="005917FD"/>
    <w:rsid w:val="00594600"/>
    <w:rsid w:val="005A6EA0"/>
    <w:rsid w:val="005C343F"/>
    <w:rsid w:val="005C7E37"/>
    <w:rsid w:val="005D101C"/>
    <w:rsid w:val="005E0622"/>
    <w:rsid w:val="005E788E"/>
    <w:rsid w:val="006073C6"/>
    <w:rsid w:val="006111CD"/>
    <w:rsid w:val="00614750"/>
    <w:rsid w:val="00647C77"/>
    <w:rsid w:val="00651BA6"/>
    <w:rsid w:val="00670141"/>
    <w:rsid w:val="00674776"/>
    <w:rsid w:val="006A2973"/>
    <w:rsid w:val="006B0AED"/>
    <w:rsid w:val="006D361F"/>
    <w:rsid w:val="006E19C7"/>
    <w:rsid w:val="006E4ECF"/>
    <w:rsid w:val="006F1CF6"/>
    <w:rsid w:val="006F6105"/>
    <w:rsid w:val="00706D81"/>
    <w:rsid w:val="0072044B"/>
    <w:rsid w:val="0072474F"/>
    <w:rsid w:val="00724DD3"/>
    <w:rsid w:val="00732DCA"/>
    <w:rsid w:val="0074379D"/>
    <w:rsid w:val="00743B9C"/>
    <w:rsid w:val="00743FEF"/>
    <w:rsid w:val="00744835"/>
    <w:rsid w:val="00745F4F"/>
    <w:rsid w:val="00752673"/>
    <w:rsid w:val="0075558F"/>
    <w:rsid w:val="007570CB"/>
    <w:rsid w:val="00762368"/>
    <w:rsid w:val="00777FA8"/>
    <w:rsid w:val="00784A13"/>
    <w:rsid w:val="00784C00"/>
    <w:rsid w:val="00786734"/>
    <w:rsid w:val="00790D37"/>
    <w:rsid w:val="00791F85"/>
    <w:rsid w:val="0079383D"/>
    <w:rsid w:val="007B3450"/>
    <w:rsid w:val="007C0CF2"/>
    <w:rsid w:val="007C2515"/>
    <w:rsid w:val="007C36AC"/>
    <w:rsid w:val="007E3B09"/>
    <w:rsid w:val="007E6CDA"/>
    <w:rsid w:val="007F56CD"/>
    <w:rsid w:val="008049AE"/>
    <w:rsid w:val="00812C82"/>
    <w:rsid w:val="00837677"/>
    <w:rsid w:val="008616DA"/>
    <w:rsid w:val="00865E68"/>
    <w:rsid w:val="00875540"/>
    <w:rsid w:val="00884B58"/>
    <w:rsid w:val="00890BB1"/>
    <w:rsid w:val="00896F35"/>
    <w:rsid w:val="008A7567"/>
    <w:rsid w:val="008C7A3B"/>
    <w:rsid w:val="008D2BE5"/>
    <w:rsid w:val="00902BE8"/>
    <w:rsid w:val="00904E68"/>
    <w:rsid w:val="00905824"/>
    <w:rsid w:val="00906B2A"/>
    <w:rsid w:val="009276CE"/>
    <w:rsid w:val="009307EE"/>
    <w:rsid w:val="00931A39"/>
    <w:rsid w:val="009377BC"/>
    <w:rsid w:val="00942FB7"/>
    <w:rsid w:val="009524D7"/>
    <w:rsid w:val="009535A2"/>
    <w:rsid w:val="009629DF"/>
    <w:rsid w:val="00963DDA"/>
    <w:rsid w:val="00964AD1"/>
    <w:rsid w:val="00965391"/>
    <w:rsid w:val="0097237F"/>
    <w:rsid w:val="0098655A"/>
    <w:rsid w:val="00987DC6"/>
    <w:rsid w:val="00991D02"/>
    <w:rsid w:val="009A6DF1"/>
    <w:rsid w:val="009C54C6"/>
    <w:rsid w:val="009E2F5A"/>
    <w:rsid w:val="009F353E"/>
    <w:rsid w:val="009F3CA4"/>
    <w:rsid w:val="00A04425"/>
    <w:rsid w:val="00A1452F"/>
    <w:rsid w:val="00A154A7"/>
    <w:rsid w:val="00A15A01"/>
    <w:rsid w:val="00A24D60"/>
    <w:rsid w:val="00A37572"/>
    <w:rsid w:val="00A41817"/>
    <w:rsid w:val="00A47390"/>
    <w:rsid w:val="00A56D49"/>
    <w:rsid w:val="00A63999"/>
    <w:rsid w:val="00A70096"/>
    <w:rsid w:val="00A71C60"/>
    <w:rsid w:val="00A72C4F"/>
    <w:rsid w:val="00A7609C"/>
    <w:rsid w:val="00A8208F"/>
    <w:rsid w:val="00A82A86"/>
    <w:rsid w:val="00A836CD"/>
    <w:rsid w:val="00A90AAB"/>
    <w:rsid w:val="00A92EB6"/>
    <w:rsid w:val="00A95763"/>
    <w:rsid w:val="00AA42AC"/>
    <w:rsid w:val="00AA64C8"/>
    <w:rsid w:val="00AA78DB"/>
    <w:rsid w:val="00AB2DE4"/>
    <w:rsid w:val="00AC12A8"/>
    <w:rsid w:val="00AC73F8"/>
    <w:rsid w:val="00AD73C3"/>
    <w:rsid w:val="00AE4A6A"/>
    <w:rsid w:val="00AE742F"/>
    <w:rsid w:val="00AF19FA"/>
    <w:rsid w:val="00AF3558"/>
    <w:rsid w:val="00B04CBD"/>
    <w:rsid w:val="00B05BBC"/>
    <w:rsid w:val="00B12556"/>
    <w:rsid w:val="00B16029"/>
    <w:rsid w:val="00B36422"/>
    <w:rsid w:val="00B526CC"/>
    <w:rsid w:val="00B6319E"/>
    <w:rsid w:val="00B63CA0"/>
    <w:rsid w:val="00B75B8F"/>
    <w:rsid w:val="00B767F6"/>
    <w:rsid w:val="00B80159"/>
    <w:rsid w:val="00B82C53"/>
    <w:rsid w:val="00B82D40"/>
    <w:rsid w:val="00B90A35"/>
    <w:rsid w:val="00B91BF8"/>
    <w:rsid w:val="00B97D61"/>
    <w:rsid w:val="00BA310E"/>
    <w:rsid w:val="00BB0676"/>
    <w:rsid w:val="00BB68B5"/>
    <w:rsid w:val="00BD28AE"/>
    <w:rsid w:val="00BE1C4D"/>
    <w:rsid w:val="00BE27CE"/>
    <w:rsid w:val="00C066BB"/>
    <w:rsid w:val="00C121C2"/>
    <w:rsid w:val="00C12D35"/>
    <w:rsid w:val="00C15E92"/>
    <w:rsid w:val="00C17E0B"/>
    <w:rsid w:val="00C3219B"/>
    <w:rsid w:val="00C369F2"/>
    <w:rsid w:val="00C40941"/>
    <w:rsid w:val="00C413AA"/>
    <w:rsid w:val="00C44B90"/>
    <w:rsid w:val="00C63FDF"/>
    <w:rsid w:val="00C803BB"/>
    <w:rsid w:val="00C813DA"/>
    <w:rsid w:val="00C83F28"/>
    <w:rsid w:val="00C85B91"/>
    <w:rsid w:val="00C863AC"/>
    <w:rsid w:val="00C921E4"/>
    <w:rsid w:val="00CA2713"/>
    <w:rsid w:val="00CA29D0"/>
    <w:rsid w:val="00CA70CC"/>
    <w:rsid w:val="00CB26C3"/>
    <w:rsid w:val="00CB3961"/>
    <w:rsid w:val="00CB39FE"/>
    <w:rsid w:val="00CB3F94"/>
    <w:rsid w:val="00CC2018"/>
    <w:rsid w:val="00CC71FE"/>
    <w:rsid w:val="00CD0039"/>
    <w:rsid w:val="00CE180B"/>
    <w:rsid w:val="00CF170C"/>
    <w:rsid w:val="00CF2ABE"/>
    <w:rsid w:val="00D03672"/>
    <w:rsid w:val="00D21823"/>
    <w:rsid w:val="00D2206A"/>
    <w:rsid w:val="00D24747"/>
    <w:rsid w:val="00D33385"/>
    <w:rsid w:val="00D347FD"/>
    <w:rsid w:val="00D3699C"/>
    <w:rsid w:val="00D4245B"/>
    <w:rsid w:val="00D44E27"/>
    <w:rsid w:val="00D51A32"/>
    <w:rsid w:val="00D6270E"/>
    <w:rsid w:val="00D62732"/>
    <w:rsid w:val="00D73E18"/>
    <w:rsid w:val="00D81DA1"/>
    <w:rsid w:val="00D90DEF"/>
    <w:rsid w:val="00D91293"/>
    <w:rsid w:val="00DB3A0D"/>
    <w:rsid w:val="00DB5E52"/>
    <w:rsid w:val="00DB6CB4"/>
    <w:rsid w:val="00DB780C"/>
    <w:rsid w:val="00DD3831"/>
    <w:rsid w:val="00DE008A"/>
    <w:rsid w:val="00DE1D83"/>
    <w:rsid w:val="00DE21AD"/>
    <w:rsid w:val="00DE2BA1"/>
    <w:rsid w:val="00DE36A1"/>
    <w:rsid w:val="00DE4529"/>
    <w:rsid w:val="00DE6359"/>
    <w:rsid w:val="00DF5D4E"/>
    <w:rsid w:val="00DF6AA4"/>
    <w:rsid w:val="00E10073"/>
    <w:rsid w:val="00E149FC"/>
    <w:rsid w:val="00E157EC"/>
    <w:rsid w:val="00E238D4"/>
    <w:rsid w:val="00E24511"/>
    <w:rsid w:val="00E24997"/>
    <w:rsid w:val="00E26B22"/>
    <w:rsid w:val="00E3180C"/>
    <w:rsid w:val="00E34943"/>
    <w:rsid w:val="00E431E2"/>
    <w:rsid w:val="00E44831"/>
    <w:rsid w:val="00E458BF"/>
    <w:rsid w:val="00E4636B"/>
    <w:rsid w:val="00E57A12"/>
    <w:rsid w:val="00E63FE2"/>
    <w:rsid w:val="00E66D7F"/>
    <w:rsid w:val="00E70A8C"/>
    <w:rsid w:val="00E72EDB"/>
    <w:rsid w:val="00E73E62"/>
    <w:rsid w:val="00E7404F"/>
    <w:rsid w:val="00E75FE3"/>
    <w:rsid w:val="00E967CA"/>
    <w:rsid w:val="00EC5739"/>
    <w:rsid w:val="00EC639B"/>
    <w:rsid w:val="00ED2429"/>
    <w:rsid w:val="00ED3D6E"/>
    <w:rsid w:val="00EE3B99"/>
    <w:rsid w:val="00EE739A"/>
    <w:rsid w:val="00EF203A"/>
    <w:rsid w:val="00F107FE"/>
    <w:rsid w:val="00F13C8A"/>
    <w:rsid w:val="00F22190"/>
    <w:rsid w:val="00F276B1"/>
    <w:rsid w:val="00F34AD3"/>
    <w:rsid w:val="00F51CF5"/>
    <w:rsid w:val="00F641A4"/>
    <w:rsid w:val="00F7117A"/>
    <w:rsid w:val="00F7383A"/>
    <w:rsid w:val="00F80306"/>
    <w:rsid w:val="00F81594"/>
    <w:rsid w:val="00F81C79"/>
    <w:rsid w:val="00F83C00"/>
    <w:rsid w:val="00F850BE"/>
    <w:rsid w:val="00F96AF2"/>
    <w:rsid w:val="00FA03EA"/>
    <w:rsid w:val="00FA4E5A"/>
    <w:rsid w:val="00FB1FA9"/>
    <w:rsid w:val="00FB6E3B"/>
    <w:rsid w:val="00FC2759"/>
    <w:rsid w:val="00FD1418"/>
    <w:rsid w:val="00FD4D5C"/>
    <w:rsid w:val="00FE65AA"/>
    <w:rsid w:val="00FF330C"/>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583A"/>
    <w:rPr>
      <w:sz w:val="24"/>
      <w:szCs w:val="24"/>
    </w:rPr>
  </w:style>
  <w:style w:type="paragraph" w:styleId="Heading3">
    <w:name w:val="heading 3"/>
    <w:basedOn w:val="Normal"/>
    <w:next w:val="Normal"/>
    <w:qFormat/>
    <w:rsid w:val="00B36422"/>
    <w:pPr>
      <w:keepNext/>
      <w:numPr>
        <w:numId w:val="1"/>
      </w:numPr>
      <w:spacing w:before="120" w:after="120"/>
      <w:jc w:val="both"/>
      <w:outlineLvl w:val="2"/>
    </w:pPr>
    <w:rPr>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DocNum">
    <w:name w:val="GPDocNum"/>
    <w:basedOn w:val="Normal"/>
    <w:next w:val="Normal"/>
    <w:rsid w:val="00FD1418"/>
    <w:rPr>
      <w:rFonts w:ascii="TimesNewRoman" w:hAnsi="TimesNewRoman" w:cs="TimesNewRoman"/>
      <w:sz w:val="16"/>
    </w:rPr>
  </w:style>
  <w:style w:type="paragraph" w:styleId="Header">
    <w:name w:val="header"/>
    <w:basedOn w:val="Normal"/>
    <w:link w:val="HeaderChar"/>
    <w:rsid w:val="00E431E2"/>
    <w:pPr>
      <w:tabs>
        <w:tab w:val="center" w:pos="4680"/>
        <w:tab w:val="right" w:pos="9360"/>
      </w:tabs>
    </w:pPr>
  </w:style>
  <w:style w:type="character" w:customStyle="1" w:styleId="HeaderChar">
    <w:name w:val="Header Char"/>
    <w:link w:val="Header"/>
    <w:rsid w:val="00E431E2"/>
    <w:rPr>
      <w:sz w:val="24"/>
      <w:szCs w:val="24"/>
    </w:rPr>
  </w:style>
  <w:style w:type="paragraph" w:styleId="Footer">
    <w:name w:val="footer"/>
    <w:basedOn w:val="Normal"/>
    <w:link w:val="FooterChar"/>
    <w:uiPriority w:val="99"/>
    <w:rsid w:val="00E431E2"/>
    <w:pPr>
      <w:tabs>
        <w:tab w:val="center" w:pos="4680"/>
        <w:tab w:val="right" w:pos="9360"/>
      </w:tabs>
    </w:pPr>
  </w:style>
  <w:style w:type="character" w:customStyle="1" w:styleId="FooterChar">
    <w:name w:val="Footer Char"/>
    <w:link w:val="Footer"/>
    <w:uiPriority w:val="99"/>
    <w:rsid w:val="00E431E2"/>
    <w:rPr>
      <w:sz w:val="24"/>
      <w:szCs w:val="24"/>
    </w:rPr>
  </w:style>
  <w:style w:type="table" w:customStyle="1" w:styleId="TableGrid1">
    <w:name w:val="Table Grid1"/>
    <w:basedOn w:val="TableNormal"/>
    <w:next w:val="TableGrid"/>
    <w:rsid w:val="00475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75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cPacTrailer">
    <w:name w:val="MacPac Trailer"/>
    <w:rsid w:val="00A41817"/>
    <w:pPr>
      <w:widowControl w:val="0"/>
      <w:spacing w:line="200" w:lineRule="exact"/>
    </w:pPr>
    <w:rPr>
      <w:sz w:val="16"/>
      <w:szCs w:val="22"/>
    </w:rPr>
  </w:style>
  <w:style w:type="paragraph" w:styleId="BalloonText">
    <w:name w:val="Balloon Text"/>
    <w:basedOn w:val="Normal"/>
    <w:link w:val="BalloonTextChar"/>
    <w:rsid w:val="00A41817"/>
    <w:rPr>
      <w:rFonts w:ascii="Tahoma" w:hAnsi="Tahoma" w:cs="Tahoma"/>
      <w:sz w:val="16"/>
      <w:szCs w:val="16"/>
    </w:rPr>
  </w:style>
  <w:style w:type="character" w:customStyle="1" w:styleId="BalloonTextChar">
    <w:name w:val="Balloon Text Char"/>
    <w:link w:val="BalloonText"/>
    <w:rsid w:val="00A41817"/>
    <w:rPr>
      <w:rFonts w:ascii="Tahoma" w:hAnsi="Tahoma" w:cs="Tahoma"/>
      <w:sz w:val="16"/>
      <w:szCs w:val="16"/>
    </w:rPr>
  </w:style>
  <w:style w:type="paragraph" w:styleId="Title">
    <w:name w:val="Title"/>
    <w:basedOn w:val="Normal"/>
    <w:next w:val="Normal"/>
    <w:link w:val="TitleChar"/>
    <w:qFormat/>
    <w:rsid w:val="00906B2A"/>
    <w:pPr>
      <w:autoSpaceDE w:val="0"/>
      <w:autoSpaceDN w:val="0"/>
      <w:adjustRightInd w:val="0"/>
      <w:jc w:val="center"/>
    </w:pPr>
    <w:rPr>
      <w:rFonts w:cs="TimesNewRoman"/>
      <w:b/>
      <w:u w:val="single"/>
    </w:rPr>
  </w:style>
  <w:style w:type="character" w:customStyle="1" w:styleId="TitleChar">
    <w:name w:val="Title Char"/>
    <w:basedOn w:val="DefaultParagraphFont"/>
    <w:link w:val="Title"/>
    <w:rsid w:val="00906B2A"/>
    <w:rPr>
      <w:rFonts w:cs="TimesNewRoman"/>
      <w:b/>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583A"/>
    <w:rPr>
      <w:sz w:val="24"/>
      <w:szCs w:val="24"/>
    </w:rPr>
  </w:style>
  <w:style w:type="paragraph" w:styleId="Heading3">
    <w:name w:val="heading 3"/>
    <w:basedOn w:val="Normal"/>
    <w:next w:val="Normal"/>
    <w:qFormat/>
    <w:rsid w:val="00B36422"/>
    <w:pPr>
      <w:keepNext/>
      <w:numPr>
        <w:numId w:val="1"/>
      </w:numPr>
      <w:spacing w:before="120" w:after="120"/>
      <w:jc w:val="both"/>
      <w:outlineLvl w:val="2"/>
    </w:pPr>
    <w:rPr>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DocNum">
    <w:name w:val="GPDocNum"/>
    <w:basedOn w:val="Normal"/>
    <w:next w:val="Normal"/>
    <w:rsid w:val="00FD1418"/>
    <w:rPr>
      <w:rFonts w:ascii="TimesNewRoman" w:hAnsi="TimesNewRoman" w:cs="TimesNewRoman"/>
      <w:sz w:val="16"/>
    </w:rPr>
  </w:style>
  <w:style w:type="paragraph" w:styleId="Header">
    <w:name w:val="header"/>
    <w:basedOn w:val="Normal"/>
    <w:link w:val="HeaderChar"/>
    <w:rsid w:val="00E431E2"/>
    <w:pPr>
      <w:tabs>
        <w:tab w:val="center" w:pos="4680"/>
        <w:tab w:val="right" w:pos="9360"/>
      </w:tabs>
    </w:pPr>
  </w:style>
  <w:style w:type="character" w:customStyle="1" w:styleId="HeaderChar">
    <w:name w:val="Header Char"/>
    <w:link w:val="Header"/>
    <w:rsid w:val="00E431E2"/>
    <w:rPr>
      <w:sz w:val="24"/>
      <w:szCs w:val="24"/>
    </w:rPr>
  </w:style>
  <w:style w:type="paragraph" w:styleId="Footer">
    <w:name w:val="footer"/>
    <w:basedOn w:val="Normal"/>
    <w:link w:val="FooterChar"/>
    <w:uiPriority w:val="99"/>
    <w:rsid w:val="00E431E2"/>
    <w:pPr>
      <w:tabs>
        <w:tab w:val="center" w:pos="4680"/>
        <w:tab w:val="right" w:pos="9360"/>
      </w:tabs>
    </w:pPr>
  </w:style>
  <w:style w:type="character" w:customStyle="1" w:styleId="FooterChar">
    <w:name w:val="Footer Char"/>
    <w:link w:val="Footer"/>
    <w:uiPriority w:val="99"/>
    <w:rsid w:val="00E431E2"/>
    <w:rPr>
      <w:sz w:val="24"/>
      <w:szCs w:val="24"/>
    </w:rPr>
  </w:style>
  <w:style w:type="table" w:customStyle="1" w:styleId="TableGrid1">
    <w:name w:val="Table Grid1"/>
    <w:basedOn w:val="TableNormal"/>
    <w:next w:val="TableGrid"/>
    <w:rsid w:val="00475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75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cPacTrailer">
    <w:name w:val="MacPac Trailer"/>
    <w:rsid w:val="00A41817"/>
    <w:pPr>
      <w:widowControl w:val="0"/>
      <w:spacing w:line="200" w:lineRule="exact"/>
    </w:pPr>
    <w:rPr>
      <w:sz w:val="16"/>
      <w:szCs w:val="22"/>
    </w:rPr>
  </w:style>
  <w:style w:type="paragraph" w:styleId="BalloonText">
    <w:name w:val="Balloon Text"/>
    <w:basedOn w:val="Normal"/>
    <w:link w:val="BalloonTextChar"/>
    <w:rsid w:val="00A41817"/>
    <w:rPr>
      <w:rFonts w:ascii="Tahoma" w:hAnsi="Tahoma" w:cs="Tahoma"/>
      <w:sz w:val="16"/>
      <w:szCs w:val="16"/>
    </w:rPr>
  </w:style>
  <w:style w:type="character" w:customStyle="1" w:styleId="BalloonTextChar">
    <w:name w:val="Balloon Text Char"/>
    <w:link w:val="BalloonText"/>
    <w:rsid w:val="00A41817"/>
    <w:rPr>
      <w:rFonts w:ascii="Tahoma" w:hAnsi="Tahoma" w:cs="Tahoma"/>
      <w:sz w:val="16"/>
      <w:szCs w:val="16"/>
    </w:rPr>
  </w:style>
  <w:style w:type="paragraph" w:styleId="Title">
    <w:name w:val="Title"/>
    <w:basedOn w:val="Normal"/>
    <w:next w:val="Normal"/>
    <w:link w:val="TitleChar"/>
    <w:qFormat/>
    <w:rsid w:val="00906B2A"/>
    <w:pPr>
      <w:autoSpaceDE w:val="0"/>
      <w:autoSpaceDN w:val="0"/>
      <w:adjustRightInd w:val="0"/>
      <w:jc w:val="center"/>
    </w:pPr>
    <w:rPr>
      <w:rFonts w:cs="TimesNewRoman"/>
      <w:b/>
      <w:u w:val="single"/>
    </w:rPr>
  </w:style>
  <w:style w:type="character" w:customStyle="1" w:styleId="TitleChar">
    <w:name w:val="Title Char"/>
    <w:basedOn w:val="DefaultParagraphFont"/>
    <w:link w:val="Title"/>
    <w:rsid w:val="00906B2A"/>
    <w:rPr>
      <w:rFonts w:cs="TimesNew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3CCA8-CADF-40E6-851C-B97B791C5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71E7FB23.dotm</Template>
  <TotalTime>4</TotalTime>
  <Pages>3</Pages>
  <Words>1133</Words>
  <Characters>6192</Characters>
  <Application>Microsoft Office Word</Application>
  <DocSecurity>0</DocSecurity>
  <Lines>213</Lines>
  <Paragraphs>62</Paragraphs>
  <ScaleCrop>false</ScaleCrop>
  <HeadingPairs>
    <vt:vector size="2" baseType="variant">
      <vt:variant>
        <vt:lpstr>Title</vt:lpstr>
      </vt:variant>
      <vt:variant>
        <vt:i4>1</vt:i4>
      </vt:variant>
    </vt:vector>
  </HeadingPairs>
  <TitlesOfParts>
    <vt:vector size="1" baseType="lpstr">
      <vt:lpstr>Business Associate Agreement Checklist - Required and Optional Terms</vt:lpstr>
    </vt:vector>
  </TitlesOfParts>
  <Company>Gray Plant Mooty</Company>
  <LinksUpToDate>false</LinksUpToDate>
  <CharactersWithSpaces>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Associate Agreement Checklist - Required and Optional Terms</dc:title>
  <dc:subject>Business Associates</dc:subject>
  <dc:creator>Reiland, Julia C.</dc:creator>
  <cp:keywords/>
  <cp:lastModifiedBy>Schue, Lila M.</cp:lastModifiedBy>
  <cp:revision>4</cp:revision>
  <cp:lastPrinted>2013-04-03T21:48:00Z</cp:lastPrinted>
  <dcterms:created xsi:type="dcterms:W3CDTF">2017-01-27T15:41:00Z</dcterms:created>
  <dcterms:modified xsi:type="dcterms:W3CDTF">2017-02-06T22:43:00Z</dcterms:modified>
  <cp:category>Foundations in Privacy Toolkit</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WS_TRACKING_ID">
    <vt:lpwstr>d30f3bec-6d1f-4afd-b5b6-f99fc005c22c</vt:lpwstr>
  </property>
</Properties>
</file>