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6D" w:rsidRDefault="005A6C79" w:rsidP="0004686D">
      <w:pPr>
        <w:widowControl w:val="0"/>
        <w:jc w:val="center"/>
        <w:rPr>
          <w:rFonts w:eastAsia="Times New Roman" w:cs="Times New Roman"/>
          <w:b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szCs w:val="24"/>
        </w:rPr>
        <w:t>USING AND DISCLOSING INFORMATION FOR PAYMENT PURPOSES</w:t>
      </w:r>
    </w:p>
    <w:p w:rsidR="0004686D" w:rsidRPr="00C1480B" w:rsidRDefault="0004686D" w:rsidP="0004686D">
      <w:pPr>
        <w:widowControl w:val="0"/>
        <w:jc w:val="center"/>
        <w:rPr>
          <w:rFonts w:eastAsia="Times New Roman" w:cs="Times New Roman"/>
          <w:b/>
          <w:szCs w:val="24"/>
        </w:rPr>
      </w:pPr>
    </w:p>
    <w:p w:rsidR="0004686D" w:rsidRPr="00C1480B" w:rsidRDefault="0004686D" w:rsidP="0004686D">
      <w:pPr>
        <w:widowControl w:val="0"/>
        <w:jc w:val="center"/>
        <w:rPr>
          <w:rFonts w:eastAsia="Times New Roman" w:cs="Times New Roman"/>
          <w:b/>
          <w:szCs w:val="24"/>
        </w:rPr>
      </w:pPr>
      <w:r w:rsidRPr="00C1480B">
        <w:rPr>
          <w:rFonts w:eastAsia="Times New Roman" w:cs="Times New Roman"/>
          <w:b/>
          <w:szCs w:val="24"/>
        </w:rPr>
        <w:t>Policy Number: [Enter]</w:t>
      </w:r>
    </w:p>
    <w:p w:rsidR="0004686D" w:rsidRPr="00C1480B" w:rsidRDefault="0004686D" w:rsidP="0004686D">
      <w:pPr>
        <w:widowControl w:val="0"/>
        <w:jc w:val="center"/>
        <w:rPr>
          <w:rFonts w:eastAsia="Times New Roman" w:cs="Times New Roman"/>
          <w:b/>
          <w:szCs w:val="24"/>
        </w:rPr>
      </w:pPr>
      <w:r w:rsidRPr="00C1480B">
        <w:rPr>
          <w:rFonts w:eastAsia="Times New Roman" w:cs="Times New Roman"/>
          <w:b/>
          <w:szCs w:val="24"/>
        </w:rPr>
        <w:t>Effective Date: [Enter]</w:t>
      </w:r>
    </w:p>
    <w:p w:rsidR="0004686D" w:rsidRPr="0004686D" w:rsidRDefault="0004686D" w:rsidP="0004686D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86D">
        <w:rPr>
          <w:rFonts w:ascii="Times New Roman" w:hAnsi="Times New Roman" w:cs="Times New Roman"/>
          <w:b/>
          <w:sz w:val="24"/>
          <w:szCs w:val="24"/>
          <w:u w:val="single"/>
        </w:rPr>
        <w:t>Policy:</w:t>
      </w:r>
    </w:p>
    <w:p w:rsidR="0004686D" w:rsidRDefault="0004686D" w:rsidP="0004686D">
      <w:pPr>
        <w:pStyle w:val="ListParagraph"/>
        <w:numPr>
          <w:ilvl w:val="1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6D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5A6C79" w:rsidRPr="005A6C79" w:rsidRDefault="005A6C79" w:rsidP="005A6C79">
      <w:pPr>
        <w:pStyle w:val="ListParagraph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policy establishes guidelines to be followed by</w:t>
      </w:r>
      <w:r>
        <w:rPr>
          <w:rFonts w:ascii="Times New Roman" w:hAnsi="Times New Roman" w:cs="Times New Roman"/>
          <w:i/>
          <w:sz w:val="24"/>
          <w:szCs w:val="24"/>
        </w:rPr>
        <w:t xml:space="preserve"> [Organization]’s</w:t>
      </w:r>
      <w:r>
        <w:rPr>
          <w:rFonts w:ascii="Times New Roman" w:hAnsi="Times New Roman" w:cs="Times New Roman"/>
          <w:sz w:val="24"/>
          <w:szCs w:val="24"/>
        </w:rPr>
        <w:t xml:space="preserve"> workforce when using and disclosing information for payment purposes.</w:t>
      </w:r>
    </w:p>
    <w:p w:rsidR="0084023C" w:rsidRDefault="0004686D" w:rsidP="0084023C">
      <w:pPr>
        <w:pStyle w:val="ListParagraph"/>
        <w:numPr>
          <w:ilvl w:val="1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6D">
        <w:rPr>
          <w:rFonts w:ascii="Times New Roman" w:hAnsi="Times New Roman" w:cs="Times New Roman"/>
          <w:b/>
          <w:sz w:val="24"/>
          <w:szCs w:val="24"/>
        </w:rPr>
        <w:t xml:space="preserve">Policy Implementation </w:t>
      </w:r>
      <w:r w:rsidR="00300489">
        <w:rPr>
          <w:rFonts w:ascii="Times New Roman" w:hAnsi="Times New Roman" w:cs="Times New Roman"/>
          <w:b/>
          <w:sz w:val="24"/>
          <w:szCs w:val="24"/>
        </w:rPr>
        <w:t>–</w:t>
      </w:r>
      <w:r w:rsidRPr="0004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489">
        <w:rPr>
          <w:rFonts w:ascii="Times New Roman" w:hAnsi="Times New Roman" w:cs="Times New Roman"/>
          <w:b/>
          <w:sz w:val="24"/>
          <w:szCs w:val="24"/>
        </w:rPr>
        <w:t>Use of PHI for Payment Purposes</w:t>
      </w:r>
    </w:p>
    <w:p w:rsidR="00300489" w:rsidRPr="00300489" w:rsidRDefault="00300489" w:rsidP="00300489">
      <w:pPr>
        <w:pStyle w:val="ListParagraph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0489">
        <w:rPr>
          <w:rFonts w:ascii="Times New Roman" w:hAnsi="Times New Roman" w:cs="Times New Roman"/>
          <w:sz w:val="24"/>
          <w:szCs w:val="24"/>
        </w:rPr>
        <w:t>[</w:t>
      </w:r>
      <w:r w:rsidRPr="00124B4F">
        <w:rPr>
          <w:rFonts w:ascii="Times New Roman" w:hAnsi="Times New Roman" w:cs="Times New Roman"/>
          <w:i/>
          <w:sz w:val="24"/>
          <w:szCs w:val="24"/>
        </w:rPr>
        <w:t>Organization</w:t>
      </w:r>
      <w:r w:rsidRPr="00300489">
        <w:rPr>
          <w:rFonts w:ascii="Times New Roman" w:hAnsi="Times New Roman" w:cs="Times New Roman"/>
          <w:sz w:val="24"/>
          <w:szCs w:val="24"/>
        </w:rPr>
        <w:t xml:space="preserve">] may use </w:t>
      </w:r>
      <w:r w:rsidR="00AC4461">
        <w:rPr>
          <w:rFonts w:ascii="Times New Roman" w:hAnsi="Times New Roman" w:cs="Times New Roman"/>
          <w:sz w:val="24"/>
          <w:szCs w:val="24"/>
        </w:rPr>
        <w:t>PHI</w:t>
      </w:r>
      <w:r>
        <w:rPr>
          <w:rFonts w:ascii="Times New Roman" w:hAnsi="Times New Roman" w:cs="Times New Roman"/>
          <w:sz w:val="24"/>
          <w:szCs w:val="24"/>
        </w:rPr>
        <w:t xml:space="preserve"> for payment purposes without obtaining prior HIPAA authorization from the patient.</w:t>
      </w:r>
      <w:r w:rsidR="00124B4F">
        <w:rPr>
          <w:rFonts w:ascii="Times New Roman" w:hAnsi="Times New Roman" w:cs="Times New Roman"/>
          <w:sz w:val="24"/>
          <w:szCs w:val="24"/>
        </w:rPr>
        <w:t xml:space="preserve">  Note that use for payment in this context is limited to those </w:t>
      </w:r>
      <w:r w:rsidR="00124B4F" w:rsidRPr="00124B4F">
        <w:rPr>
          <w:rFonts w:ascii="Times New Roman" w:hAnsi="Times New Roman" w:cs="Times New Roman"/>
          <w:sz w:val="24"/>
          <w:szCs w:val="24"/>
          <w:u w:val="single"/>
        </w:rPr>
        <w:t>internal</w:t>
      </w:r>
      <w:r w:rsidR="00124B4F">
        <w:rPr>
          <w:rFonts w:ascii="Times New Roman" w:hAnsi="Times New Roman" w:cs="Times New Roman"/>
          <w:sz w:val="24"/>
          <w:szCs w:val="24"/>
        </w:rPr>
        <w:t xml:space="preserve"> activities undertaken to obtain reimbursement for the provision of health care services. </w:t>
      </w:r>
    </w:p>
    <w:p w:rsidR="00300489" w:rsidRDefault="00300489" w:rsidP="0084023C">
      <w:pPr>
        <w:pStyle w:val="ListParagraph"/>
        <w:numPr>
          <w:ilvl w:val="1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Disclosure of PHI for Payment Purposes</w:t>
      </w:r>
    </w:p>
    <w:p w:rsidR="008C4163" w:rsidRDefault="008C4163" w:rsidP="00E05727">
      <w:pPr>
        <w:spacing w:after="240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Pr="008C4163">
        <w:rPr>
          <w:rFonts w:cs="Times New Roman"/>
          <w:i/>
          <w:szCs w:val="24"/>
        </w:rPr>
        <w:t>Organization</w:t>
      </w:r>
      <w:r>
        <w:rPr>
          <w:rFonts w:cs="Times New Roman"/>
          <w:szCs w:val="24"/>
        </w:rPr>
        <w:t xml:space="preserve">] </w:t>
      </w:r>
      <w:r w:rsidR="00124B4F">
        <w:rPr>
          <w:rFonts w:cs="Times New Roman"/>
          <w:szCs w:val="24"/>
        </w:rPr>
        <w:t>is</w:t>
      </w:r>
      <w:r>
        <w:rPr>
          <w:rFonts w:cs="Times New Roman"/>
          <w:szCs w:val="24"/>
        </w:rPr>
        <w:t xml:space="preserve"> generally </w:t>
      </w:r>
      <w:r w:rsidR="00124B4F">
        <w:rPr>
          <w:rFonts w:cs="Times New Roman"/>
          <w:szCs w:val="24"/>
        </w:rPr>
        <w:t xml:space="preserve">required to </w:t>
      </w:r>
      <w:r>
        <w:rPr>
          <w:rFonts w:cs="Times New Roman"/>
          <w:szCs w:val="24"/>
        </w:rPr>
        <w:t>disclose PHI t</w:t>
      </w:r>
      <w:r w:rsidR="006F7178">
        <w:rPr>
          <w:rFonts w:cs="Times New Roman"/>
          <w:szCs w:val="24"/>
        </w:rPr>
        <w:t xml:space="preserve">o obtain reimbursement for the </w:t>
      </w:r>
      <w:r w:rsidR="00B64B89">
        <w:rPr>
          <w:rFonts w:cs="Times New Roman"/>
          <w:szCs w:val="24"/>
        </w:rPr>
        <w:t xml:space="preserve">treatment and </w:t>
      </w:r>
      <w:r w:rsidR="006F7178">
        <w:rPr>
          <w:rFonts w:cs="Times New Roman"/>
          <w:szCs w:val="24"/>
        </w:rPr>
        <w:t xml:space="preserve">services </w:t>
      </w:r>
      <w:r>
        <w:rPr>
          <w:rFonts w:cs="Times New Roman"/>
          <w:szCs w:val="24"/>
        </w:rPr>
        <w:t>it</w:t>
      </w:r>
      <w:r w:rsidR="006F7178">
        <w:rPr>
          <w:rFonts w:cs="Times New Roman"/>
          <w:szCs w:val="24"/>
        </w:rPr>
        <w:t xml:space="preserve"> provides</w:t>
      </w:r>
      <w:r>
        <w:rPr>
          <w:rFonts w:cs="Times New Roman"/>
          <w:szCs w:val="24"/>
        </w:rPr>
        <w:t>.</w:t>
      </w:r>
      <w:r w:rsidR="006F7178">
        <w:rPr>
          <w:rFonts w:cs="Times New Roman"/>
          <w:szCs w:val="24"/>
        </w:rPr>
        <w:t xml:space="preserve"> </w:t>
      </w:r>
      <w:r w:rsidR="006F7178" w:rsidRPr="006F7178">
        <w:rPr>
          <w:rFonts w:cs="Times New Roman"/>
          <w:szCs w:val="24"/>
        </w:rPr>
        <w:t>[</w:t>
      </w:r>
      <w:r w:rsidR="006F7178" w:rsidRPr="008C4163">
        <w:rPr>
          <w:rFonts w:cs="Times New Roman"/>
          <w:i/>
          <w:szCs w:val="24"/>
        </w:rPr>
        <w:t>Organization</w:t>
      </w:r>
      <w:r w:rsidR="006F7178" w:rsidRPr="006F7178">
        <w:rPr>
          <w:rFonts w:cs="Times New Roman"/>
          <w:szCs w:val="24"/>
        </w:rPr>
        <w:t>]</w:t>
      </w:r>
      <w:r w:rsidR="006F7178">
        <w:rPr>
          <w:rFonts w:cs="Times New Roman"/>
          <w:szCs w:val="24"/>
        </w:rPr>
        <w:t xml:space="preserve"> </w:t>
      </w:r>
      <w:r w:rsidR="00C048A6" w:rsidRPr="00C048A6">
        <w:rPr>
          <w:rFonts w:cs="Times New Roman"/>
          <w:szCs w:val="24"/>
        </w:rPr>
        <w:t xml:space="preserve">may disclose </w:t>
      </w:r>
      <w:r w:rsidR="00C048A6">
        <w:rPr>
          <w:rFonts w:cs="Times New Roman"/>
          <w:szCs w:val="24"/>
        </w:rPr>
        <w:t>PHI for payment purposes</w:t>
      </w:r>
      <w:r>
        <w:rPr>
          <w:rFonts w:cs="Times New Roman"/>
          <w:szCs w:val="24"/>
        </w:rPr>
        <w:t xml:space="preserve"> without obtaining HIPAA authorization from the patient.  </w:t>
      </w:r>
      <w:r w:rsidRPr="006F7178">
        <w:rPr>
          <w:rFonts w:cs="Times New Roman"/>
          <w:szCs w:val="24"/>
        </w:rPr>
        <w:t>[</w:t>
      </w:r>
      <w:r w:rsidRPr="006F7178">
        <w:rPr>
          <w:rFonts w:cs="Times New Roman"/>
          <w:i/>
          <w:szCs w:val="24"/>
        </w:rPr>
        <w:t>Organization</w:t>
      </w:r>
      <w:r w:rsidRPr="006F7178">
        <w:rPr>
          <w:rFonts w:cs="Times New Roman"/>
          <w:szCs w:val="24"/>
        </w:rPr>
        <w:t xml:space="preserve">] may </w:t>
      </w:r>
      <w:r w:rsidR="002940E6">
        <w:rPr>
          <w:rFonts w:cs="Times New Roman"/>
          <w:szCs w:val="24"/>
        </w:rPr>
        <w:t xml:space="preserve">also </w:t>
      </w:r>
      <w:r w:rsidRPr="006F7178">
        <w:rPr>
          <w:rFonts w:cs="Times New Roman"/>
          <w:szCs w:val="24"/>
        </w:rPr>
        <w:t xml:space="preserve">disclose PHI </w:t>
      </w:r>
      <w:r>
        <w:rPr>
          <w:rFonts w:cs="Times New Roman"/>
          <w:szCs w:val="24"/>
        </w:rPr>
        <w:t xml:space="preserve">to another </w:t>
      </w:r>
      <w:r w:rsidR="00BC33D5">
        <w:rPr>
          <w:rFonts w:cs="Times New Roman"/>
          <w:szCs w:val="24"/>
        </w:rPr>
        <w:t xml:space="preserve">covered entity or health care </w:t>
      </w:r>
      <w:r>
        <w:rPr>
          <w:rFonts w:cs="Times New Roman"/>
          <w:szCs w:val="24"/>
        </w:rPr>
        <w:t xml:space="preserve">provider for the payment activities of that </w:t>
      </w:r>
      <w:r w:rsidR="00BC33D5">
        <w:rPr>
          <w:rFonts w:cs="Times New Roman"/>
          <w:szCs w:val="24"/>
        </w:rPr>
        <w:t>entity</w:t>
      </w:r>
      <w:r>
        <w:rPr>
          <w:rFonts w:cs="Times New Roman"/>
          <w:szCs w:val="24"/>
        </w:rPr>
        <w:t xml:space="preserve">. </w:t>
      </w:r>
    </w:p>
    <w:p w:rsidR="008C4163" w:rsidRPr="008C4163" w:rsidRDefault="004E17AE" w:rsidP="00E05727">
      <w:pPr>
        <w:spacing w:after="240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“Payment” includes activities undertaken by a health care provider, such as </w:t>
      </w:r>
      <w:r w:rsidRPr="004E17AE">
        <w:rPr>
          <w:rFonts w:cs="Times New Roman"/>
          <w:i/>
          <w:szCs w:val="24"/>
        </w:rPr>
        <w:t>[Organization]</w:t>
      </w:r>
      <w:r>
        <w:rPr>
          <w:rFonts w:cs="Times New Roman"/>
          <w:szCs w:val="24"/>
        </w:rPr>
        <w:t>, or a health plan to obtain or provide reimbursement for the provision of health care.  In addition, “payment” includes t</w:t>
      </w:r>
      <w:r w:rsidR="008C4163">
        <w:rPr>
          <w:rFonts w:cs="Times New Roman"/>
          <w:szCs w:val="24"/>
        </w:rPr>
        <w:t>he follow</w:t>
      </w:r>
      <w:r>
        <w:rPr>
          <w:rFonts w:cs="Times New Roman"/>
          <w:szCs w:val="24"/>
        </w:rPr>
        <w:t>ing</w:t>
      </w:r>
      <w:r w:rsidR="008C4163">
        <w:rPr>
          <w:rFonts w:cs="Times New Roman"/>
          <w:szCs w:val="24"/>
        </w:rPr>
        <w:t xml:space="preserve"> activities:</w:t>
      </w:r>
    </w:p>
    <w:p w:rsidR="002940E6" w:rsidRDefault="00AC4461" w:rsidP="00AC4461">
      <w:pPr>
        <w:pStyle w:val="ListParagraph"/>
        <w:numPr>
          <w:ilvl w:val="0"/>
          <w:numId w:val="9"/>
        </w:numPr>
        <w:spacing w:after="120"/>
        <w:ind w:left="1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940E6">
        <w:rPr>
          <w:rFonts w:ascii="Times New Roman" w:hAnsi="Times New Roman" w:cs="Times New Roman"/>
          <w:sz w:val="24"/>
          <w:szCs w:val="24"/>
        </w:rPr>
        <w:t>eterminations of eligibility or coverage (including coordination of benefits or the determination of cost sharing amounts), and adjudication or subrogation of health benefit claims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0E6" w:rsidRDefault="002940E6" w:rsidP="00AC4461">
      <w:pPr>
        <w:pStyle w:val="ListParagraph"/>
        <w:numPr>
          <w:ilvl w:val="0"/>
          <w:numId w:val="9"/>
        </w:numPr>
        <w:spacing w:after="120"/>
        <w:ind w:left="1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40E6">
        <w:rPr>
          <w:rFonts w:ascii="Times New Roman" w:hAnsi="Times New Roman" w:cs="Times New Roman"/>
          <w:sz w:val="24"/>
          <w:szCs w:val="24"/>
        </w:rPr>
        <w:t>Risk adjusting amounts due based on enrollee health status and demographic characteristics;</w:t>
      </w:r>
    </w:p>
    <w:p w:rsidR="008C4163" w:rsidRPr="008C4163" w:rsidRDefault="008C4163" w:rsidP="00AC4461">
      <w:pPr>
        <w:pStyle w:val="ListParagraph"/>
        <w:numPr>
          <w:ilvl w:val="0"/>
          <w:numId w:val="9"/>
        </w:numPr>
        <w:spacing w:after="120"/>
        <w:ind w:left="1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63">
        <w:rPr>
          <w:rFonts w:ascii="Times New Roman" w:hAnsi="Times New Roman" w:cs="Times New Roman"/>
          <w:sz w:val="24"/>
          <w:szCs w:val="24"/>
        </w:rPr>
        <w:t>Billing, claims management, collection activities, obtaining payment under a contract for reinsurance (including stop-loss insurance and excess of loss insurance), and related health care data processing;</w:t>
      </w:r>
    </w:p>
    <w:p w:rsidR="008C4163" w:rsidRPr="008C4163" w:rsidRDefault="008C4163" w:rsidP="00AC4461">
      <w:pPr>
        <w:pStyle w:val="ListParagraph"/>
        <w:numPr>
          <w:ilvl w:val="0"/>
          <w:numId w:val="9"/>
        </w:numPr>
        <w:spacing w:after="120"/>
        <w:ind w:left="1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63">
        <w:rPr>
          <w:rFonts w:ascii="Times New Roman" w:hAnsi="Times New Roman" w:cs="Times New Roman"/>
          <w:sz w:val="24"/>
          <w:szCs w:val="24"/>
        </w:rPr>
        <w:t>Review of health care services with respect to medical necessity, coverage under a health plan, appropriateness of care, or justification of charges;</w:t>
      </w:r>
    </w:p>
    <w:p w:rsidR="008C4163" w:rsidRPr="008C4163" w:rsidRDefault="008C4163" w:rsidP="00AC4461">
      <w:pPr>
        <w:pStyle w:val="ListParagraph"/>
        <w:numPr>
          <w:ilvl w:val="0"/>
          <w:numId w:val="9"/>
        </w:numPr>
        <w:spacing w:after="120"/>
        <w:ind w:left="1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63">
        <w:rPr>
          <w:rFonts w:ascii="Times New Roman" w:hAnsi="Times New Roman" w:cs="Times New Roman"/>
          <w:sz w:val="24"/>
          <w:szCs w:val="24"/>
        </w:rPr>
        <w:t>Utilization review activities, including precertification and preauthorization of services, concurrent and retrospective review of services; and</w:t>
      </w:r>
    </w:p>
    <w:p w:rsidR="008C4163" w:rsidRPr="008C4163" w:rsidRDefault="008C4163" w:rsidP="00AC4461">
      <w:pPr>
        <w:pStyle w:val="ListParagraph"/>
        <w:numPr>
          <w:ilvl w:val="0"/>
          <w:numId w:val="9"/>
        </w:numPr>
        <w:spacing w:after="120"/>
        <w:ind w:left="1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63">
        <w:rPr>
          <w:rFonts w:ascii="Times New Roman" w:hAnsi="Times New Roman" w:cs="Times New Roman"/>
          <w:sz w:val="24"/>
          <w:szCs w:val="24"/>
        </w:rPr>
        <w:lastRenderedPageBreak/>
        <w:t>Disclosure to consumer reporting agencies of any of the following protected health information relating to collection of premiums or reimbursement:</w:t>
      </w:r>
    </w:p>
    <w:p w:rsidR="008C4163" w:rsidRPr="008C4163" w:rsidRDefault="008C4163" w:rsidP="00AC4461">
      <w:pPr>
        <w:pStyle w:val="ListParagraph"/>
        <w:numPr>
          <w:ilvl w:val="1"/>
          <w:numId w:val="9"/>
        </w:numPr>
        <w:spacing w:after="120"/>
        <w:ind w:left="22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63">
        <w:rPr>
          <w:rFonts w:ascii="Times New Roman" w:hAnsi="Times New Roman" w:cs="Times New Roman"/>
          <w:sz w:val="24"/>
          <w:szCs w:val="24"/>
        </w:rPr>
        <w:t>Name and address;</w:t>
      </w:r>
    </w:p>
    <w:p w:rsidR="008C4163" w:rsidRPr="008C4163" w:rsidRDefault="008C4163" w:rsidP="00AC4461">
      <w:pPr>
        <w:pStyle w:val="ListParagraph"/>
        <w:numPr>
          <w:ilvl w:val="1"/>
          <w:numId w:val="9"/>
        </w:numPr>
        <w:spacing w:after="120"/>
        <w:ind w:left="22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63">
        <w:rPr>
          <w:rFonts w:ascii="Times New Roman" w:hAnsi="Times New Roman" w:cs="Times New Roman"/>
          <w:sz w:val="24"/>
          <w:szCs w:val="24"/>
        </w:rPr>
        <w:t>Date of birth;</w:t>
      </w:r>
    </w:p>
    <w:p w:rsidR="008C4163" w:rsidRPr="008C4163" w:rsidRDefault="008C4163" w:rsidP="00AC4461">
      <w:pPr>
        <w:pStyle w:val="ListParagraph"/>
        <w:numPr>
          <w:ilvl w:val="1"/>
          <w:numId w:val="9"/>
        </w:numPr>
        <w:spacing w:after="120"/>
        <w:ind w:left="22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63">
        <w:rPr>
          <w:rFonts w:ascii="Times New Roman" w:hAnsi="Times New Roman" w:cs="Times New Roman"/>
          <w:sz w:val="24"/>
          <w:szCs w:val="24"/>
        </w:rPr>
        <w:t>Social security number;</w:t>
      </w:r>
    </w:p>
    <w:p w:rsidR="008C4163" w:rsidRPr="008C4163" w:rsidRDefault="008C4163" w:rsidP="00AC4461">
      <w:pPr>
        <w:pStyle w:val="ListParagraph"/>
        <w:numPr>
          <w:ilvl w:val="1"/>
          <w:numId w:val="9"/>
        </w:numPr>
        <w:spacing w:after="120"/>
        <w:ind w:left="22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63">
        <w:rPr>
          <w:rFonts w:ascii="Times New Roman" w:hAnsi="Times New Roman" w:cs="Times New Roman"/>
          <w:sz w:val="24"/>
          <w:szCs w:val="24"/>
        </w:rPr>
        <w:t>Payment history;</w:t>
      </w:r>
    </w:p>
    <w:p w:rsidR="008C4163" w:rsidRPr="008C4163" w:rsidRDefault="008C4163" w:rsidP="00AC4461">
      <w:pPr>
        <w:pStyle w:val="ListParagraph"/>
        <w:numPr>
          <w:ilvl w:val="1"/>
          <w:numId w:val="9"/>
        </w:numPr>
        <w:spacing w:after="120"/>
        <w:ind w:left="22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63">
        <w:rPr>
          <w:rFonts w:ascii="Times New Roman" w:hAnsi="Times New Roman" w:cs="Times New Roman"/>
          <w:sz w:val="24"/>
          <w:szCs w:val="24"/>
        </w:rPr>
        <w:t>Account number; and</w:t>
      </w:r>
    </w:p>
    <w:p w:rsidR="00C048A6" w:rsidRPr="008C4163" w:rsidRDefault="008C4163" w:rsidP="00AC4461">
      <w:pPr>
        <w:pStyle w:val="ListParagraph"/>
        <w:numPr>
          <w:ilvl w:val="1"/>
          <w:numId w:val="9"/>
        </w:numPr>
        <w:spacing w:after="120"/>
        <w:ind w:left="22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163">
        <w:rPr>
          <w:rFonts w:ascii="Times New Roman" w:hAnsi="Times New Roman" w:cs="Times New Roman"/>
          <w:sz w:val="24"/>
          <w:szCs w:val="24"/>
        </w:rPr>
        <w:t>Name and address of the health care provider and/or health plan.</w:t>
      </w:r>
    </w:p>
    <w:p w:rsidR="00BC33D5" w:rsidRPr="008C4163" w:rsidRDefault="00BC33D5" w:rsidP="00DA493B">
      <w:pPr>
        <w:spacing w:after="240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list of payment activities is not exclusive—additional activities may be performed to </w:t>
      </w:r>
      <w:r w:rsidR="00B020CB">
        <w:rPr>
          <w:rFonts w:cs="Times New Roman"/>
          <w:szCs w:val="24"/>
        </w:rPr>
        <w:t>obtain reimbursement</w:t>
      </w:r>
      <w:r>
        <w:rPr>
          <w:rFonts w:cs="Times New Roman"/>
          <w:szCs w:val="24"/>
        </w:rPr>
        <w:t xml:space="preserve"> </w:t>
      </w:r>
      <w:r w:rsidR="00DA493B">
        <w:rPr>
          <w:rFonts w:cs="Times New Roman"/>
          <w:szCs w:val="24"/>
        </w:rPr>
        <w:t xml:space="preserve">for </w:t>
      </w:r>
      <w:r>
        <w:rPr>
          <w:rFonts w:cs="Times New Roman"/>
          <w:szCs w:val="24"/>
        </w:rPr>
        <w:t>[</w:t>
      </w:r>
      <w:r w:rsidRPr="00B020CB">
        <w:rPr>
          <w:rFonts w:cs="Times New Roman"/>
          <w:i/>
          <w:szCs w:val="24"/>
        </w:rPr>
        <w:t>Organization</w:t>
      </w:r>
      <w:r>
        <w:rPr>
          <w:rFonts w:cs="Times New Roman"/>
          <w:szCs w:val="24"/>
        </w:rPr>
        <w:t xml:space="preserve">]’s </w:t>
      </w:r>
      <w:r w:rsidR="00B020CB">
        <w:rPr>
          <w:rFonts w:cs="Times New Roman"/>
          <w:szCs w:val="24"/>
        </w:rPr>
        <w:t>services</w:t>
      </w:r>
      <w:r>
        <w:rPr>
          <w:rFonts w:cs="Times New Roman"/>
          <w:szCs w:val="24"/>
        </w:rPr>
        <w:t xml:space="preserve">. Workforce should consult with the </w:t>
      </w:r>
      <w:r w:rsidRPr="005C1B1D">
        <w:rPr>
          <w:rFonts w:cs="Times New Roman"/>
          <w:szCs w:val="24"/>
        </w:rPr>
        <w:t>[</w:t>
      </w:r>
      <w:r w:rsidRPr="005C1B1D">
        <w:rPr>
          <w:rFonts w:cs="Times New Roman"/>
          <w:i/>
          <w:szCs w:val="24"/>
        </w:rPr>
        <w:t>compliance officer/privacy officer/other designee</w:t>
      </w:r>
      <w:r w:rsidRPr="005C1B1D">
        <w:rPr>
          <w:rFonts w:cs="Times New Roman"/>
          <w:szCs w:val="24"/>
        </w:rPr>
        <w:t>]</w:t>
      </w:r>
      <w:r>
        <w:rPr>
          <w:rFonts w:cs="Times New Roman"/>
          <w:szCs w:val="24"/>
        </w:rPr>
        <w:t xml:space="preserve"> as appropriate. </w:t>
      </w:r>
    </w:p>
    <w:p w:rsidR="007C09BF" w:rsidRDefault="000D319A" w:rsidP="007C09BF">
      <w:pPr>
        <w:pStyle w:val="ListParagraph"/>
        <w:shd w:val="clear" w:color="auto" w:fill="D9D9D9" w:themeFill="background1" w:themeFillShade="D9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319A">
        <w:rPr>
          <w:rFonts w:ascii="Times New Roman" w:hAnsi="Times New Roman" w:cs="Times New Roman"/>
          <w:b/>
          <w:sz w:val="24"/>
          <w:szCs w:val="24"/>
          <w:u w:val="single"/>
        </w:rPr>
        <w:t>Minnesota Law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4B4F" w:rsidRPr="00124B4F">
        <w:rPr>
          <w:rFonts w:ascii="Times New Roman" w:hAnsi="Times New Roman" w:cs="Times New Roman"/>
          <w:b/>
          <w:sz w:val="24"/>
          <w:szCs w:val="24"/>
        </w:rPr>
        <w:t>Minnesota law generally requires [</w:t>
      </w:r>
      <w:r w:rsidR="00124B4F" w:rsidRPr="00124B4F">
        <w:rPr>
          <w:rFonts w:ascii="Times New Roman" w:hAnsi="Times New Roman" w:cs="Times New Roman"/>
          <w:b/>
          <w:i/>
          <w:sz w:val="24"/>
          <w:szCs w:val="24"/>
        </w:rPr>
        <w:t>Organization</w:t>
      </w:r>
      <w:r w:rsidR="00124B4F" w:rsidRPr="00124B4F">
        <w:rPr>
          <w:rFonts w:ascii="Times New Roman" w:hAnsi="Times New Roman" w:cs="Times New Roman"/>
          <w:b/>
          <w:sz w:val="24"/>
          <w:szCs w:val="24"/>
        </w:rPr>
        <w:t xml:space="preserve">] to obtain signed and dated patient consent prior to releasing health records, unless certain exceptions apply. </w:t>
      </w:r>
      <w:r w:rsidR="00A95E9C" w:rsidRPr="00124B4F">
        <w:rPr>
          <w:rFonts w:ascii="Times New Roman" w:hAnsi="Times New Roman" w:cs="Times New Roman"/>
          <w:b/>
          <w:sz w:val="24"/>
          <w:szCs w:val="24"/>
        </w:rPr>
        <w:t>[</w:t>
      </w:r>
      <w:r w:rsidR="00A95E9C" w:rsidRPr="00124B4F">
        <w:rPr>
          <w:rFonts w:ascii="Times New Roman" w:hAnsi="Times New Roman" w:cs="Times New Roman"/>
          <w:b/>
          <w:i/>
          <w:sz w:val="24"/>
          <w:szCs w:val="24"/>
        </w:rPr>
        <w:t>Organization</w:t>
      </w:r>
      <w:r w:rsidR="00A95E9C" w:rsidRPr="00124B4F">
        <w:rPr>
          <w:rFonts w:ascii="Times New Roman" w:hAnsi="Times New Roman" w:cs="Times New Roman"/>
          <w:b/>
          <w:sz w:val="24"/>
          <w:szCs w:val="24"/>
        </w:rPr>
        <w:t>] includes general language in its standard consent form indicating that [</w:t>
      </w:r>
      <w:r w:rsidR="00A95E9C" w:rsidRPr="00124B4F">
        <w:rPr>
          <w:rFonts w:ascii="Times New Roman" w:hAnsi="Times New Roman" w:cs="Times New Roman"/>
          <w:b/>
          <w:i/>
          <w:sz w:val="24"/>
          <w:szCs w:val="24"/>
        </w:rPr>
        <w:t>Organization</w:t>
      </w:r>
      <w:r w:rsidR="00A95E9C" w:rsidRPr="00124B4F">
        <w:rPr>
          <w:rFonts w:ascii="Times New Roman" w:hAnsi="Times New Roman" w:cs="Times New Roman"/>
          <w:b/>
          <w:sz w:val="24"/>
          <w:szCs w:val="24"/>
        </w:rPr>
        <w:t xml:space="preserve">] can disclose patient information </w:t>
      </w:r>
      <w:r w:rsidR="00A95E9C">
        <w:rPr>
          <w:rFonts w:ascii="Times New Roman" w:hAnsi="Times New Roman" w:cs="Times New Roman"/>
          <w:b/>
          <w:sz w:val="24"/>
          <w:szCs w:val="24"/>
        </w:rPr>
        <w:t>for payment purposes</w:t>
      </w:r>
      <w:r w:rsidR="00A95E9C" w:rsidRPr="00124B4F">
        <w:rPr>
          <w:rFonts w:ascii="Times New Roman" w:hAnsi="Times New Roman" w:cs="Times New Roman"/>
          <w:b/>
          <w:sz w:val="24"/>
          <w:szCs w:val="24"/>
        </w:rPr>
        <w:t>.  This satisfies the consent requirement under Minnesota law.</w:t>
      </w:r>
      <w:r w:rsidR="00A95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B4F" w:rsidRPr="00124B4F">
        <w:rPr>
          <w:rFonts w:ascii="Times New Roman" w:hAnsi="Times New Roman" w:cs="Times New Roman"/>
          <w:b/>
          <w:sz w:val="24"/>
          <w:szCs w:val="24"/>
        </w:rPr>
        <w:t>[</w:t>
      </w:r>
      <w:r w:rsidR="00124B4F" w:rsidRPr="00124B4F">
        <w:rPr>
          <w:rFonts w:ascii="Times New Roman" w:hAnsi="Times New Roman" w:cs="Times New Roman"/>
          <w:b/>
          <w:i/>
          <w:sz w:val="24"/>
          <w:szCs w:val="24"/>
        </w:rPr>
        <w:t>Organization</w:t>
      </w:r>
      <w:r w:rsidR="00124B4F" w:rsidRPr="00124B4F">
        <w:rPr>
          <w:rFonts w:ascii="Times New Roman" w:hAnsi="Times New Roman" w:cs="Times New Roman"/>
          <w:b/>
          <w:sz w:val="24"/>
          <w:szCs w:val="24"/>
        </w:rPr>
        <w:t xml:space="preserve">] states in its Notice of Privacy Practices that it may use and disclose information for </w:t>
      </w:r>
      <w:r w:rsidR="00124B4F">
        <w:rPr>
          <w:rFonts w:ascii="Times New Roman" w:hAnsi="Times New Roman" w:cs="Times New Roman"/>
          <w:b/>
          <w:sz w:val="24"/>
          <w:szCs w:val="24"/>
        </w:rPr>
        <w:t>payment purposes</w:t>
      </w:r>
      <w:r w:rsidR="00124B4F" w:rsidRPr="00124B4F">
        <w:rPr>
          <w:rFonts w:ascii="Times New Roman" w:hAnsi="Times New Roman" w:cs="Times New Roman"/>
          <w:b/>
          <w:sz w:val="24"/>
          <w:szCs w:val="24"/>
        </w:rPr>
        <w:t>; if the</w:t>
      </w:r>
      <w:r w:rsidR="00A95E9C">
        <w:rPr>
          <w:rFonts w:ascii="Times New Roman" w:hAnsi="Times New Roman" w:cs="Times New Roman"/>
          <w:b/>
          <w:sz w:val="24"/>
          <w:szCs w:val="24"/>
        </w:rPr>
        <w:t>re is language by which</w:t>
      </w:r>
      <w:r w:rsidR="00124B4F" w:rsidRPr="00124B4F">
        <w:rPr>
          <w:rFonts w:ascii="Times New Roman" w:hAnsi="Times New Roman" w:cs="Times New Roman"/>
          <w:b/>
          <w:sz w:val="24"/>
          <w:szCs w:val="24"/>
        </w:rPr>
        <w:t xml:space="preserve"> patient acknowledges and consents to the </w:t>
      </w:r>
      <w:r w:rsidR="00A613A1">
        <w:rPr>
          <w:rFonts w:ascii="Times New Roman" w:hAnsi="Times New Roman" w:cs="Times New Roman"/>
          <w:b/>
          <w:sz w:val="24"/>
          <w:szCs w:val="24"/>
        </w:rPr>
        <w:t xml:space="preserve">activities described as </w:t>
      </w:r>
      <w:r w:rsidR="00124B4F" w:rsidRPr="00124B4F">
        <w:rPr>
          <w:rFonts w:ascii="Times New Roman" w:hAnsi="Times New Roman" w:cs="Times New Roman"/>
          <w:b/>
          <w:sz w:val="24"/>
          <w:szCs w:val="24"/>
        </w:rPr>
        <w:t>set forth in the Notice of Privacy Practices</w:t>
      </w:r>
      <w:r w:rsidR="00294AD0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294AD0">
        <w:rPr>
          <w:rFonts w:ascii="Times New Roman" w:hAnsi="Times New Roman" w:cs="Times New Roman"/>
          <w:b/>
          <w:i/>
          <w:sz w:val="24"/>
          <w:szCs w:val="24"/>
        </w:rPr>
        <w:t>[O</w:t>
      </w:r>
      <w:r w:rsidR="00294AD0" w:rsidRPr="00294AD0">
        <w:rPr>
          <w:rFonts w:ascii="Times New Roman" w:hAnsi="Times New Roman" w:cs="Times New Roman"/>
          <w:b/>
          <w:i/>
          <w:sz w:val="24"/>
          <w:szCs w:val="24"/>
        </w:rPr>
        <w:t>rganization’s</w:t>
      </w:r>
      <w:r w:rsidR="00294AD0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294AD0">
        <w:rPr>
          <w:rFonts w:ascii="Times New Roman" w:hAnsi="Times New Roman" w:cs="Times New Roman"/>
          <w:b/>
          <w:sz w:val="24"/>
          <w:szCs w:val="24"/>
        </w:rPr>
        <w:t xml:space="preserve"> consent form</w:t>
      </w:r>
      <w:r w:rsidR="00124B4F" w:rsidRPr="00124B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5E9C">
        <w:rPr>
          <w:rFonts w:ascii="Times New Roman" w:hAnsi="Times New Roman" w:cs="Times New Roman"/>
          <w:b/>
          <w:sz w:val="24"/>
          <w:szCs w:val="24"/>
        </w:rPr>
        <w:t xml:space="preserve">this would be an alternative option for the patient to </w:t>
      </w:r>
      <w:r w:rsidR="00124B4F" w:rsidRPr="00124B4F">
        <w:rPr>
          <w:rFonts w:ascii="Times New Roman" w:hAnsi="Times New Roman" w:cs="Times New Roman"/>
          <w:b/>
          <w:sz w:val="24"/>
          <w:szCs w:val="24"/>
        </w:rPr>
        <w:t>provide the necessary consent under Minnesota law.</w:t>
      </w:r>
    </w:p>
    <w:p w:rsidR="000D319A" w:rsidRDefault="000D319A" w:rsidP="007C09BF">
      <w:pPr>
        <w:pStyle w:val="ListParagraph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45C" w:rsidRDefault="000D319A" w:rsidP="000D319A">
      <w:pPr>
        <w:pStyle w:val="ListParagraph"/>
        <w:shd w:val="clear" w:color="auto" w:fill="D9D9D9" w:themeFill="background1" w:themeFillShade="D9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319A">
        <w:rPr>
          <w:rFonts w:ascii="Times New Roman" w:hAnsi="Times New Roman" w:cs="Times New Roman"/>
          <w:b/>
          <w:sz w:val="24"/>
          <w:szCs w:val="24"/>
          <w:u w:val="single"/>
        </w:rPr>
        <w:t>Alcohol and Drug Abuse Records</w:t>
      </w:r>
      <w:r w:rsidRPr="000D319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D319A">
        <w:rPr>
          <w:rFonts w:ascii="Times New Roman" w:hAnsi="Times New Roman" w:cs="Times New Roman"/>
          <w:b/>
          <w:sz w:val="24"/>
          <w:szCs w:val="24"/>
        </w:rPr>
        <w:t xml:space="preserve">  Unique rules apply when [</w:t>
      </w:r>
      <w:r w:rsidRPr="000D319A">
        <w:rPr>
          <w:rFonts w:ascii="Times New Roman" w:hAnsi="Times New Roman" w:cs="Times New Roman"/>
          <w:b/>
          <w:i/>
          <w:sz w:val="24"/>
          <w:szCs w:val="24"/>
        </w:rPr>
        <w:t>Organization</w:t>
      </w:r>
      <w:r w:rsidRPr="000D319A">
        <w:rPr>
          <w:rFonts w:ascii="Times New Roman" w:hAnsi="Times New Roman" w:cs="Times New Roman"/>
          <w:b/>
          <w:sz w:val="24"/>
          <w:szCs w:val="24"/>
        </w:rPr>
        <w:t xml:space="preserve">] seeks to disclose alcohol and drug abuse records for </w:t>
      </w:r>
      <w:r>
        <w:rPr>
          <w:rFonts w:ascii="Times New Roman" w:hAnsi="Times New Roman" w:cs="Times New Roman"/>
          <w:b/>
          <w:sz w:val="24"/>
          <w:szCs w:val="24"/>
        </w:rPr>
        <w:t>payment purposes</w:t>
      </w:r>
      <w:r w:rsidRPr="000D319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63B7C" w:rsidRPr="00263B7C">
        <w:rPr>
          <w:rFonts w:ascii="Times New Roman" w:hAnsi="Times New Roman" w:cs="Times New Roman"/>
          <w:b/>
          <w:i/>
          <w:sz w:val="24"/>
          <w:szCs w:val="24"/>
        </w:rPr>
        <w:t>[Organization]</w:t>
      </w:r>
      <w:r w:rsidR="00263B7C" w:rsidRPr="00263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B7C">
        <w:rPr>
          <w:rFonts w:ascii="Times New Roman" w:hAnsi="Times New Roman" w:cs="Times New Roman"/>
          <w:b/>
          <w:sz w:val="24"/>
          <w:szCs w:val="24"/>
        </w:rPr>
        <w:t xml:space="preserve">must generally obtain signed consent that </w:t>
      </w:r>
      <w:r w:rsidR="00263B7C" w:rsidRPr="00263B7C">
        <w:rPr>
          <w:rFonts w:ascii="Times New Roman" w:hAnsi="Times New Roman" w:cs="Times New Roman"/>
          <w:b/>
          <w:sz w:val="24"/>
          <w:szCs w:val="24"/>
        </w:rPr>
        <w:t>satisfies Part 2 requirements</w:t>
      </w:r>
      <w:r w:rsidR="00263B7C">
        <w:rPr>
          <w:rFonts w:ascii="Times New Roman" w:hAnsi="Times New Roman" w:cs="Times New Roman"/>
          <w:b/>
          <w:sz w:val="24"/>
          <w:szCs w:val="24"/>
        </w:rPr>
        <w:t xml:space="preserve"> prior to disclosing information for payment purposes</w:t>
      </w:r>
      <w:r w:rsidR="00242975">
        <w:rPr>
          <w:rFonts w:ascii="Times New Roman" w:hAnsi="Times New Roman" w:cs="Times New Roman"/>
          <w:b/>
          <w:sz w:val="24"/>
          <w:szCs w:val="24"/>
        </w:rPr>
        <w:t>, and each</w:t>
      </w:r>
      <w:r w:rsidR="00A7145C">
        <w:rPr>
          <w:rFonts w:ascii="Times New Roman" w:hAnsi="Times New Roman" w:cs="Times New Roman"/>
          <w:b/>
          <w:sz w:val="24"/>
          <w:szCs w:val="24"/>
        </w:rPr>
        <w:t xml:space="preserve"> disclosure must be accompanied </w:t>
      </w:r>
      <w:r w:rsidR="00242975">
        <w:rPr>
          <w:rFonts w:ascii="Times New Roman" w:hAnsi="Times New Roman" w:cs="Times New Roman"/>
          <w:b/>
          <w:sz w:val="24"/>
          <w:szCs w:val="24"/>
        </w:rPr>
        <w:t>by</w:t>
      </w:r>
      <w:r w:rsidR="00A7145C">
        <w:rPr>
          <w:rFonts w:ascii="Times New Roman" w:hAnsi="Times New Roman" w:cs="Times New Roman"/>
          <w:b/>
          <w:sz w:val="24"/>
          <w:szCs w:val="24"/>
        </w:rPr>
        <w:t xml:space="preserve"> a written statement that prohibits </w:t>
      </w:r>
      <w:r w:rsidR="00242975">
        <w:rPr>
          <w:rFonts w:ascii="Times New Roman" w:hAnsi="Times New Roman" w:cs="Times New Roman"/>
          <w:b/>
          <w:sz w:val="24"/>
          <w:szCs w:val="24"/>
        </w:rPr>
        <w:t xml:space="preserve">third party payers from </w:t>
      </w:r>
      <w:proofErr w:type="spellStart"/>
      <w:r w:rsidR="00242975">
        <w:rPr>
          <w:rFonts w:ascii="Times New Roman" w:hAnsi="Times New Roman" w:cs="Times New Roman"/>
          <w:b/>
          <w:sz w:val="24"/>
          <w:szCs w:val="24"/>
        </w:rPr>
        <w:t>redisclosing</w:t>
      </w:r>
      <w:proofErr w:type="spellEnd"/>
      <w:r w:rsidR="00242975">
        <w:rPr>
          <w:rFonts w:ascii="Times New Roman" w:hAnsi="Times New Roman" w:cs="Times New Roman"/>
          <w:b/>
          <w:sz w:val="24"/>
          <w:szCs w:val="24"/>
        </w:rPr>
        <w:t xml:space="preserve"> the records</w:t>
      </w:r>
      <w:r w:rsidR="00A7145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42975">
        <w:rPr>
          <w:rFonts w:ascii="Times New Roman" w:hAnsi="Times New Roman" w:cs="Times New Roman"/>
          <w:b/>
          <w:sz w:val="24"/>
          <w:szCs w:val="24"/>
        </w:rPr>
        <w:t>This written statement language</w:t>
      </w:r>
      <w:r w:rsidR="00A7145C">
        <w:rPr>
          <w:rFonts w:ascii="Times New Roman" w:hAnsi="Times New Roman" w:cs="Times New Roman"/>
          <w:b/>
          <w:sz w:val="24"/>
          <w:szCs w:val="24"/>
        </w:rPr>
        <w:t xml:space="preserve"> an</w:t>
      </w:r>
      <w:r w:rsidR="00242975">
        <w:rPr>
          <w:rFonts w:ascii="Times New Roman" w:hAnsi="Times New Roman" w:cs="Times New Roman"/>
          <w:b/>
          <w:sz w:val="24"/>
          <w:szCs w:val="24"/>
        </w:rPr>
        <w:t>d the consent form requirements</w:t>
      </w:r>
      <w:r w:rsidR="00A7145C">
        <w:rPr>
          <w:rFonts w:ascii="Times New Roman" w:hAnsi="Times New Roman" w:cs="Times New Roman"/>
          <w:b/>
          <w:sz w:val="24"/>
          <w:szCs w:val="24"/>
        </w:rPr>
        <w:t xml:space="preserve"> are set forth in policy number [Enter], Disclosures of Alcohol and Drug Abuse Records.</w:t>
      </w:r>
    </w:p>
    <w:p w:rsidR="003862C4" w:rsidRDefault="000D319A" w:rsidP="000D319A">
      <w:pPr>
        <w:pStyle w:val="ListParagraph"/>
        <w:shd w:val="clear" w:color="auto" w:fill="D9D9D9" w:themeFill="background1" w:themeFillShade="D9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9A">
        <w:rPr>
          <w:rFonts w:ascii="Times New Roman" w:hAnsi="Times New Roman" w:cs="Times New Roman"/>
          <w:b/>
          <w:sz w:val="24"/>
          <w:szCs w:val="24"/>
        </w:rPr>
        <w:t>[</w:t>
      </w:r>
      <w:r w:rsidRPr="000D319A">
        <w:rPr>
          <w:rFonts w:ascii="Times New Roman" w:hAnsi="Times New Roman" w:cs="Times New Roman"/>
          <w:b/>
          <w:i/>
          <w:sz w:val="24"/>
          <w:szCs w:val="24"/>
        </w:rPr>
        <w:t>Organization</w:t>
      </w:r>
      <w:r w:rsidRPr="000D319A">
        <w:rPr>
          <w:rFonts w:ascii="Times New Roman" w:hAnsi="Times New Roman" w:cs="Times New Roman"/>
          <w:b/>
          <w:sz w:val="24"/>
          <w:szCs w:val="24"/>
        </w:rPr>
        <w:t>]</w:t>
      </w:r>
      <w:r w:rsidR="00263B7C" w:rsidRPr="00263B7C">
        <w:rPr>
          <w:rFonts w:ascii="Times New Roman" w:eastAsiaTheme="minorHAnsi" w:hAnsi="Times New Roman"/>
          <w:b/>
          <w:sz w:val="24"/>
        </w:rPr>
        <w:t xml:space="preserve"> </w:t>
      </w:r>
      <w:r w:rsidR="00263B7C" w:rsidRPr="00263B7C">
        <w:rPr>
          <w:rFonts w:ascii="Times New Roman" w:hAnsi="Times New Roman" w:cs="Times New Roman"/>
          <w:b/>
          <w:sz w:val="24"/>
          <w:szCs w:val="24"/>
        </w:rPr>
        <w:t>may disclose</w:t>
      </w:r>
      <w:r w:rsidR="00263B7C">
        <w:rPr>
          <w:rFonts w:ascii="Times New Roman" w:hAnsi="Times New Roman" w:cs="Times New Roman"/>
          <w:b/>
          <w:sz w:val="24"/>
          <w:szCs w:val="24"/>
        </w:rPr>
        <w:t xml:space="preserve"> payment</w:t>
      </w:r>
      <w:r w:rsidR="00263B7C" w:rsidRPr="00263B7C">
        <w:rPr>
          <w:rFonts w:ascii="Times New Roman" w:hAnsi="Times New Roman" w:cs="Times New Roman"/>
          <w:b/>
          <w:sz w:val="24"/>
          <w:szCs w:val="24"/>
        </w:rPr>
        <w:t xml:space="preserve"> information </w:t>
      </w:r>
      <w:r w:rsidR="00263B7C" w:rsidRPr="00A7145C">
        <w:rPr>
          <w:rFonts w:ascii="Times New Roman" w:hAnsi="Times New Roman" w:cs="Times New Roman"/>
          <w:b/>
          <w:sz w:val="24"/>
          <w:szCs w:val="24"/>
          <w:u w:val="single"/>
        </w:rPr>
        <w:t>without</w:t>
      </w:r>
      <w:r w:rsidR="00263B7C" w:rsidRPr="00263B7C">
        <w:rPr>
          <w:rFonts w:ascii="Times New Roman" w:hAnsi="Times New Roman" w:cs="Times New Roman"/>
          <w:b/>
          <w:sz w:val="24"/>
          <w:szCs w:val="24"/>
        </w:rPr>
        <w:t xml:space="preserve"> patient consent</w:t>
      </w:r>
      <w:r w:rsidR="003862C4">
        <w:rPr>
          <w:rFonts w:ascii="Times New Roman" w:hAnsi="Times New Roman" w:cs="Times New Roman"/>
          <w:b/>
          <w:sz w:val="24"/>
          <w:szCs w:val="24"/>
        </w:rPr>
        <w:t xml:space="preserve"> to:</w:t>
      </w:r>
    </w:p>
    <w:p w:rsidR="003862C4" w:rsidRDefault="003862C4" w:rsidP="003862C4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63B7C" w:rsidRPr="00263B7C">
        <w:rPr>
          <w:rFonts w:ascii="Times New Roman" w:hAnsi="Times New Roman" w:cs="Times New Roman"/>
          <w:b/>
          <w:sz w:val="24"/>
          <w:szCs w:val="24"/>
        </w:rPr>
        <w:t xml:space="preserve"> qualified service </w:t>
      </w:r>
      <w:proofErr w:type="gramStart"/>
      <w:r w:rsidR="00263B7C" w:rsidRPr="00263B7C">
        <w:rPr>
          <w:rFonts w:ascii="Times New Roman" w:hAnsi="Times New Roman" w:cs="Times New Roman"/>
          <w:b/>
          <w:sz w:val="24"/>
          <w:szCs w:val="24"/>
        </w:rPr>
        <w:t>organization,</w:t>
      </w:r>
      <w:proofErr w:type="gramEnd"/>
      <w:r w:rsidR="00263B7C" w:rsidRPr="00263B7C">
        <w:rPr>
          <w:rFonts w:ascii="Times New Roman" w:hAnsi="Times New Roman" w:cs="Times New Roman"/>
          <w:b/>
          <w:sz w:val="24"/>
          <w:szCs w:val="24"/>
        </w:rPr>
        <w:t xml:space="preserve"> provided certain requirements are met.  Staff should review policy number [Enter], Disclosing Information to Business Associates, for more d</w:t>
      </w:r>
      <w:r>
        <w:rPr>
          <w:rFonts w:ascii="Times New Roman" w:hAnsi="Times New Roman" w:cs="Times New Roman"/>
          <w:b/>
          <w:sz w:val="24"/>
          <w:szCs w:val="24"/>
        </w:rPr>
        <w:t>etail</w:t>
      </w:r>
      <w:r w:rsidR="00242975">
        <w:rPr>
          <w:rFonts w:ascii="Times New Roman" w:hAnsi="Times New Roman" w:cs="Times New Roman"/>
          <w:b/>
          <w:sz w:val="24"/>
          <w:szCs w:val="24"/>
        </w:rPr>
        <w:t>;</w:t>
      </w:r>
    </w:p>
    <w:p w:rsidR="000D319A" w:rsidRDefault="00605CF6" w:rsidP="003862C4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63B7C" w:rsidRPr="00263B7C">
        <w:rPr>
          <w:rFonts w:ascii="Times New Roman" w:hAnsi="Times New Roman" w:cs="Times New Roman"/>
          <w:b/>
          <w:sz w:val="24"/>
          <w:szCs w:val="24"/>
        </w:rPr>
        <w:t>n entity with direct administrative control over [</w:t>
      </w:r>
      <w:r w:rsidR="00263B7C" w:rsidRPr="00263B7C">
        <w:rPr>
          <w:rFonts w:ascii="Times New Roman" w:hAnsi="Times New Roman" w:cs="Times New Roman"/>
          <w:b/>
          <w:i/>
          <w:sz w:val="24"/>
          <w:szCs w:val="24"/>
        </w:rPr>
        <w:t>Organization</w:t>
      </w:r>
      <w:r w:rsidR="00242975">
        <w:rPr>
          <w:rFonts w:ascii="Times New Roman" w:hAnsi="Times New Roman" w:cs="Times New Roman"/>
          <w:b/>
          <w:sz w:val="24"/>
          <w:szCs w:val="24"/>
        </w:rPr>
        <w:t>]; or</w:t>
      </w:r>
      <w:r w:rsidR="00263B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862C4" w:rsidRDefault="00605CF6" w:rsidP="009E2BD4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3862C4">
        <w:rPr>
          <w:rFonts w:ascii="Times New Roman" w:hAnsi="Times New Roman" w:cs="Times New Roman"/>
          <w:b/>
          <w:sz w:val="24"/>
          <w:szCs w:val="24"/>
        </w:rPr>
        <w:t xml:space="preserve"> person </w:t>
      </w:r>
      <w:r w:rsidR="00B55E20" w:rsidRPr="00B55E20">
        <w:rPr>
          <w:rFonts w:ascii="Times New Roman" w:hAnsi="Times New Roman" w:cs="Times New Roman"/>
          <w:b/>
          <w:sz w:val="24"/>
          <w:szCs w:val="24"/>
        </w:rPr>
        <w:t>for audit and evaluation activities</w:t>
      </w:r>
      <w:r w:rsidR="00242975">
        <w:rPr>
          <w:rFonts w:ascii="Times New Roman" w:hAnsi="Times New Roman" w:cs="Times New Roman"/>
          <w:b/>
          <w:sz w:val="24"/>
          <w:szCs w:val="24"/>
        </w:rPr>
        <w:t>, including a third party payer,</w:t>
      </w:r>
      <w:r w:rsidR="00B55E20" w:rsidRPr="00B55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BD4">
        <w:rPr>
          <w:rFonts w:ascii="Times New Roman" w:hAnsi="Times New Roman" w:cs="Times New Roman"/>
          <w:b/>
          <w:sz w:val="24"/>
          <w:szCs w:val="24"/>
        </w:rPr>
        <w:t xml:space="preserve">when the disclosure complies with the requirements set forth in </w:t>
      </w:r>
      <w:r w:rsidR="009E2BD4" w:rsidRPr="009E2BD4">
        <w:rPr>
          <w:rFonts w:ascii="Times New Roman" w:hAnsi="Times New Roman" w:cs="Times New Roman"/>
          <w:b/>
          <w:sz w:val="24"/>
          <w:szCs w:val="24"/>
        </w:rPr>
        <w:t>42 CFR § 2.53</w:t>
      </w:r>
      <w:r w:rsidR="009E2BD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2950" w:rsidRDefault="00702950" w:rsidP="00702950">
      <w:pPr>
        <w:pStyle w:val="ListParagraph"/>
        <w:numPr>
          <w:ilvl w:val="1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50">
        <w:rPr>
          <w:rFonts w:ascii="Times New Roman" w:hAnsi="Times New Roman" w:cs="Times New Roman"/>
          <w:b/>
          <w:sz w:val="24"/>
          <w:szCs w:val="24"/>
        </w:rPr>
        <w:t>Disclosure of Minimum Necessary</w:t>
      </w:r>
    </w:p>
    <w:p w:rsidR="00702950" w:rsidRPr="00702950" w:rsidRDefault="00702950" w:rsidP="00702950">
      <w:pPr>
        <w:spacing w:after="240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When [</w:t>
      </w:r>
      <w:r w:rsidRPr="00702950">
        <w:rPr>
          <w:rFonts w:cs="Times New Roman"/>
          <w:i/>
          <w:szCs w:val="24"/>
        </w:rPr>
        <w:t>Organization</w:t>
      </w:r>
      <w:r>
        <w:rPr>
          <w:rFonts w:cs="Times New Roman"/>
          <w:szCs w:val="24"/>
        </w:rPr>
        <w:t>] and its workforce use and disclose PHI for payment purposes it must comply with the minimum necessary rule. This means that [</w:t>
      </w:r>
      <w:r w:rsidRPr="00702950">
        <w:rPr>
          <w:rFonts w:cs="Times New Roman"/>
          <w:i/>
          <w:szCs w:val="24"/>
        </w:rPr>
        <w:t>Organization</w:t>
      </w:r>
      <w:r>
        <w:rPr>
          <w:rFonts w:cs="Times New Roman"/>
          <w:szCs w:val="24"/>
        </w:rPr>
        <w:t xml:space="preserve">] can use or disclose only the information that is necessary to achieve the purpose of the disclosure (e.g., to obtain reimbursement for services). </w:t>
      </w:r>
    </w:p>
    <w:p w:rsidR="0004686D" w:rsidRPr="0004686D" w:rsidRDefault="0004686D" w:rsidP="0004686D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86D">
        <w:rPr>
          <w:rFonts w:ascii="Times New Roman" w:hAnsi="Times New Roman" w:cs="Times New Roman"/>
          <w:b/>
          <w:sz w:val="24"/>
          <w:szCs w:val="24"/>
          <w:u w:val="single"/>
        </w:rPr>
        <w:t>Procedure:</w:t>
      </w:r>
    </w:p>
    <w:p w:rsidR="00124B4F" w:rsidRDefault="00124B4F" w:rsidP="00124B4F">
      <w:pPr>
        <w:spacing w:after="240"/>
        <w:ind w:left="360"/>
        <w:jc w:val="both"/>
        <w:rPr>
          <w:rFonts w:eastAsia="Calibri" w:cs="Times New Roman"/>
        </w:rPr>
      </w:pPr>
      <w:r w:rsidRPr="00BC33D5">
        <w:rPr>
          <w:rFonts w:eastAsia="Calibri" w:cs="Times New Roman"/>
        </w:rPr>
        <w:t>When</w:t>
      </w:r>
      <w:r>
        <w:rPr>
          <w:rFonts w:eastAsia="Calibri" w:cs="Times New Roman"/>
          <w:i/>
        </w:rPr>
        <w:t xml:space="preserve"> </w:t>
      </w:r>
      <w:r>
        <w:rPr>
          <w:rFonts w:eastAsia="Calibri" w:cs="Times New Roman"/>
        </w:rPr>
        <w:t xml:space="preserve">using or disclosing health information for payment purposes, </w:t>
      </w:r>
      <w:r w:rsidRPr="00E6040D">
        <w:rPr>
          <w:rFonts w:eastAsia="Calibri" w:cs="Times New Roman"/>
          <w:i/>
        </w:rPr>
        <w:t xml:space="preserve">[Organization] </w:t>
      </w:r>
      <w:r w:rsidRPr="00E6040D">
        <w:rPr>
          <w:rFonts w:eastAsia="Calibri" w:cs="Times New Roman"/>
        </w:rPr>
        <w:t xml:space="preserve">and its workforce </w:t>
      </w:r>
      <w:r>
        <w:rPr>
          <w:rFonts w:eastAsia="Calibri" w:cs="Times New Roman"/>
        </w:rPr>
        <w:t>shall:</w:t>
      </w:r>
    </w:p>
    <w:p w:rsidR="00124B4F" w:rsidRPr="00124B4F" w:rsidRDefault="00124B4F" w:rsidP="00124B4F">
      <w:pPr>
        <w:pStyle w:val="ListParagraph"/>
        <w:numPr>
          <w:ilvl w:val="0"/>
          <w:numId w:val="10"/>
        </w:numPr>
        <w:spacing w:after="24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124B4F">
        <w:rPr>
          <w:rFonts w:ascii="Times New Roman" w:eastAsia="Calibri" w:hAnsi="Times New Roman" w:cs="Times New Roman"/>
          <w:sz w:val="24"/>
          <w:szCs w:val="24"/>
        </w:rPr>
        <w:t xml:space="preserve">onfirm that </w:t>
      </w:r>
      <w:r w:rsidR="0061790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124B4F">
        <w:rPr>
          <w:rFonts w:ascii="Times New Roman" w:eastAsia="Calibri" w:hAnsi="Times New Roman" w:cs="Times New Roman"/>
          <w:sz w:val="24"/>
          <w:szCs w:val="24"/>
        </w:rPr>
        <w:t xml:space="preserve">tasks and activities </w:t>
      </w:r>
      <w:r w:rsidR="00B020CB">
        <w:rPr>
          <w:rFonts w:ascii="Times New Roman" w:eastAsia="Calibri" w:hAnsi="Times New Roman" w:cs="Times New Roman"/>
          <w:sz w:val="24"/>
          <w:szCs w:val="24"/>
        </w:rPr>
        <w:t>are being performed</w:t>
      </w:r>
      <w:r w:rsidR="00617900">
        <w:rPr>
          <w:rFonts w:ascii="Times New Roman" w:eastAsia="Calibri" w:hAnsi="Times New Roman" w:cs="Times New Roman"/>
          <w:sz w:val="24"/>
          <w:szCs w:val="24"/>
        </w:rPr>
        <w:t xml:space="preserve"> to obtain reimbursement for the provision of services and constitute “payment</w:t>
      </w:r>
      <w:r w:rsidR="00C143BA">
        <w:rPr>
          <w:rFonts w:ascii="Times New Roman" w:eastAsia="Calibri" w:hAnsi="Times New Roman" w:cs="Times New Roman"/>
          <w:sz w:val="24"/>
          <w:szCs w:val="24"/>
        </w:rPr>
        <w:t>”</w:t>
      </w:r>
      <w:r w:rsidR="00617900">
        <w:rPr>
          <w:rFonts w:ascii="Times New Roman" w:eastAsia="Calibri" w:hAnsi="Times New Roman" w:cs="Times New Roman"/>
          <w:sz w:val="24"/>
          <w:szCs w:val="24"/>
        </w:rPr>
        <w:t xml:space="preserve"> activities </w:t>
      </w:r>
      <w:r w:rsidR="00B020CB">
        <w:rPr>
          <w:rFonts w:ascii="Times New Roman" w:eastAsia="Calibri" w:hAnsi="Times New Roman" w:cs="Times New Roman"/>
          <w:sz w:val="24"/>
          <w:szCs w:val="24"/>
        </w:rPr>
        <w:t>in accordance with this policy</w:t>
      </w:r>
      <w:r w:rsidR="002231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4B4F" w:rsidRDefault="00124B4F" w:rsidP="00124B4F">
      <w:pPr>
        <w:pStyle w:val="ListParagraph"/>
        <w:numPr>
          <w:ilvl w:val="0"/>
          <w:numId w:val="10"/>
        </w:numPr>
        <w:spacing w:after="24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B4F">
        <w:rPr>
          <w:rFonts w:ascii="Times New Roman" w:eastAsia="Calibri" w:hAnsi="Times New Roman" w:cs="Times New Roman"/>
          <w:sz w:val="24"/>
          <w:szCs w:val="24"/>
        </w:rPr>
        <w:t xml:space="preserve">Ensure the patient has </w:t>
      </w:r>
      <w:r w:rsidR="00790F9F">
        <w:rPr>
          <w:rFonts w:ascii="Times New Roman" w:eastAsia="Calibri" w:hAnsi="Times New Roman" w:cs="Times New Roman"/>
          <w:sz w:val="24"/>
          <w:szCs w:val="24"/>
        </w:rPr>
        <w:t xml:space="preserve">signed and dated </w:t>
      </w:r>
      <w:r w:rsidR="00790F9F" w:rsidRPr="00790F9F">
        <w:rPr>
          <w:rFonts w:ascii="Times New Roman" w:eastAsia="Calibri" w:hAnsi="Times New Roman" w:cs="Times New Roman"/>
          <w:i/>
          <w:sz w:val="24"/>
          <w:szCs w:val="24"/>
        </w:rPr>
        <w:t>[Organization’s]</w:t>
      </w:r>
      <w:r w:rsidR="00790F9F">
        <w:rPr>
          <w:rFonts w:ascii="Times New Roman" w:eastAsia="Calibri" w:hAnsi="Times New Roman" w:cs="Times New Roman"/>
          <w:sz w:val="24"/>
          <w:szCs w:val="24"/>
        </w:rPr>
        <w:t xml:space="preserve"> consent form that includes language addressing the disclosure of health records for </w:t>
      </w:r>
      <w:r w:rsidR="000C3552">
        <w:rPr>
          <w:rFonts w:ascii="Times New Roman" w:eastAsia="Calibri" w:hAnsi="Times New Roman" w:cs="Times New Roman"/>
          <w:sz w:val="24"/>
          <w:szCs w:val="24"/>
        </w:rPr>
        <w:t xml:space="preserve">payment </w:t>
      </w:r>
      <w:r w:rsidR="00790F9F">
        <w:rPr>
          <w:rFonts w:ascii="Times New Roman" w:eastAsia="Calibri" w:hAnsi="Times New Roman" w:cs="Times New Roman"/>
          <w:sz w:val="24"/>
          <w:szCs w:val="24"/>
        </w:rPr>
        <w:t>purposes or if not has signed and date</w:t>
      </w:r>
      <w:r w:rsidR="00F36E94">
        <w:rPr>
          <w:rFonts w:ascii="Times New Roman" w:eastAsia="Calibri" w:hAnsi="Times New Roman" w:cs="Times New Roman"/>
          <w:sz w:val="24"/>
          <w:szCs w:val="24"/>
        </w:rPr>
        <w:t>d</w:t>
      </w:r>
      <w:r w:rsidR="00790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F9F" w:rsidRPr="00790F9F">
        <w:rPr>
          <w:rFonts w:ascii="Times New Roman" w:eastAsia="Calibri" w:hAnsi="Times New Roman" w:cs="Times New Roman"/>
          <w:i/>
          <w:sz w:val="24"/>
          <w:szCs w:val="24"/>
        </w:rPr>
        <w:t>[Organization’s]</w:t>
      </w:r>
      <w:r w:rsidR="00790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4B4F">
        <w:rPr>
          <w:rFonts w:ascii="Times New Roman" w:eastAsia="Calibri" w:hAnsi="Times New Roman" w:cs="Times New Roman"/>
          <w:sz w:val="24"/>
          <w:szCs w:val="24"/>
        </w:rPr>
        <w:t xml:space="preserve">consent </w:t>
      </w:r>
      <w:r w:rsidR="00790F9F">
        <w:rPr>
          <w:rFonts w:ascii="Times New Roman" w:eastAsia="Calibri" w:hAnsi="Times New Roman" w:cs="Times New Roman"/>
          <w:sz w:val="24"/>
          <w:szCs w:val="24"/>
        </w:rPr>
        <w:t>form that includes language acknowledging and consenting to the activities described in</w:t>
      </w:r>
      <w:r w:rsidRPr="00124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4B4F">
        <w:rPr>
          <w:rFonts w:ascii="Times New Roman" w:eastAsia="Calibri" w:hAnsi="Times New Roman" w:cs="Times New Roman"/>
          <w:i/>
          <w:sz w:val="24"/>
          <w:szCs w:val="24"/>
        </w:rPr>
        <w:t>[Organization]</w:t>
      </w:r>
      <w:r w:rsidR="00790F9F">
        <w:rPr>
          <w:rFonts w:ascii="Times New Roman" w:eastAsia="Calibri" w:hAnsi="Times New Roman" w:cs="Times New Roman"/>
          <w:sz w:val="24"/>
          <w:szCs w:val="24"/>
        </w:rPr>
        <w:t>’s Notice of Privacy Practices</w:t>
      </w:r>
      <w:r w:rsidR="002231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3116" w:rsidRPr="00124B4F" w:rsidRDefault="00223116" w:rsidP="00124B4F">
      <w:pPr>
        <w:pStyle w:val="ListParagraph"/>
        <w:numPr>
          <w:ilvl w:val="0"/>
          <w:numId w:val="10"/>
        </w:numPr>
        <w:spacing w:after="24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alcohol or drug abuse records are involved, disclose information for payment purposes only in accordance with this policy. </w:t>
      </w:r>
    </w:p>
    <w:p w:rsidR="00B2082C" w:rsidRDefault="00B2082C"/>
    <w:sectPr w:rsidR="00B208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6D" w:rsidRDefault="0004686D" w:rsidP="0004686D">
      <w:r>
        <w:separator/>
      </w:r>
    </w:p>
  </w:endnote>
  <w:endnote w:type="continuationSeparator" w:id="0">
    <w:p w:rsidR="0004686D" w:rsidRDefault="0004686D" w:rsidP="0004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668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4461" w:rsidRDefault="00AC44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3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461" w:rsidRDefault="00AC4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6D" w:rsidRDefault="0004686D" w:rsidP="0004686D">
      <w:r>
        <w:separator/>
      </w:r>
    </w:p>
  </w:footnote>
  <w:footnote w:type="continuationSeparator" w:id="0">
    <w:p w:rsidR="0004686D" w:rsidRDefault="0004686D" w:rsidP="0004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6D" w:rsidRDefault="0004686D" w:rsidP="0004686D">
    <w:pPr>
      <w:pStyle w:val="Header"/>
      <w:jc w:val="center"/>
    </w:pPr>
    <w:r>
      <w:t>[Enter Organization Logo]</w:t>
    </w:r>
  </w:p>
  <w:p w:rsidR="0004686D" w:rsidRDefault="000468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9A7"/>
    <w:multiLevelType w:val="hybridMultilevel"/>
    <w:tmpl w:val="A7480B34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0B740084"/>
    <w:multiLevelType w:val="hybridMultilevel"/>
    <w:tmpl w:val="62D05B18"/>
    <w:lvl w:ilvl="0" w:tplc="455AF3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81C85"/>
    <w:multiLevelType w:val="hybridMultilevel"/>
    <w:tmpl w:val="98F46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135"/>
    <w:multiLevelType w:val="hybridMultilevel"/>
    <w:tmpl w:val="30CC85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E64C1"/>
    <w:multiLevelType w:val="hybridMultilevel"/>
    <w:tmpl w:val="147E8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1F7FFD"/>
    <w:multiLevelType w:val="hybridMultilevel"/>
    <w:tmpl w:val="11F2CAF4"/>
    <w:lvl w:ilvl="0" w:tplc="7AE89430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55CD5611"/>
    <w:multiLevelType w:val="hybridMultilevel"/>
    <w:tmpl w:val="1FD8E688"/>
    <w:lvl w:ilvl="0" w:tplc="7AE8943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>
    <w:nsid w:val="56F778E6"/>
    <w:multiLevelType w:val="hybridMultilevel"/>
    <w:tmpl w:val="D04C87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F5236"/>
    <w:multiLevelType w:val="multilevel"/>
    <w:tmpl w:val="2CD8E02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6ED5D59"/>
    <w:multiLevelType w:val="hybridMultilevel"/>
    <w:tmpl w:val="0D469868"/>
    <w:lvl w:ilvl="0" w:tplc="737E081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611E63"/>
    <w:multiLevelType w:val="hybridMultilevel"/>
    <w:tmpl w:val="DE200ACC"/>
    <w:lvl w:ilvl="0" w:tplc="A82875F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PLegacyTrailerRemoved" w:val="False"/>
    <w:docVar w:name="zzmp10LastTrailerInserted" w:val="^`~#mp!@&lt;3⌋#⌎┙┤360}}œm~ÓÁ⌌Ɨ@⌓‫áÀp•Ý⌉‟ÑFÂ⌈ƓÆ“!Ý€é⌍⌆ÎÆÄž±Ë@[9å⌗⌓0ÈÌä‿a⌟7⌘Ž‟⌚⌃×]Sñ§¡h§Å9tj¤çÎ‡℣a]Ð`éÃ[Õ/⌕⌅ÐUy⌎¼ëÛßÿ^¾(Ê:ª½U⌂ç®¾q―0ÉyuÖÐƂX&gt;⌂¬„«æQk⌇«ť&amp;Ê:\[:7_^011"/>
    <w:docVar w:name="zzmp10LastTrailerInserted_4347" w:val="^`~#mp!@&lt;3⌋#⌎┙┤360}}œm~ÓÁ⌌Ɨ@⌓‫áÀp•Ý⌉‟ÑFÂ⌈ƓÆ“!Ý€é⌍⌆ÎÆÄž±Ë@[9å⌗⌓0ÈÌä‿a⌟7⌘Ž‟⌚⌃×]Sñ§¡h§Å9tj¤çÎ‡℣a]Ð`éÃ[Õ/⌕⌅ÐUy⌎¼ëÛßÿ^¾(Ê:ª½U⌂ç®¾q―0ÉyuÖÐƂX&gt;⌂¬„«æQk⌇«ť&amp;Ê:\[:7_^011"/>
    <w:docVar w:name="zzmp10mSEGsValidated" w:val="1"/>
  </w:docVars>
  <w:rsids>
    <w:rsidRoot w:val="0004686D"/>
    <w:rsid w:val="0004686D"/>
    <w:rsid w:val="000C3552"/>
    <w:rsid w:val="000D319A"/>
    <w:rsid w:val="000D3EED"/>
    <w:rsid w:val="0012104D"/>
    <w:rsid w:val="00124B4F"/>
    <w:rsid w:val="0015127F"/>
    <w:rsid w:val="00192053"/>
    <w:rsid w:val="001A4233"/>
    <w:rsid w:val="00223116"/>
    <w:rsid w:val="00242975"/>
    <w:rsid w:val="002602A2"/>
    <w:rsid w:val="00263B7C"/>
    <w:rsid w:val="002940E6"/>
    <w:rsid w:val="00294AD0"/>
    <w:rsid w:val="00296EC7"/>
    <w:rsid w:val="00300489"/>
    <w:rsid w:val="003862C4"/>
    <w:rsid w:val="003C1141"/>
    <w:rsid w:val="004659E7"/>
    <w:rsid w:val="004E17AE"/>
    <w:rsid w:val="005631BD"/>
    <w:rsid w:val="005875BE"/>
    <w:rsid w:val="005A6C79"/>
    <w:rsid w:val="005C7D05"/>
    <w:rsid w:val="00605CF6"/>
    <w:rsid w:val="00617900"/>
    <w:rsid w:val="006515CE"/>
    <w:rsid w:val="006F7178"/>
    <w:rsid w:val="00702950"/>
    <w:rsid w:val="007653B1"/>
    <w:rsid w:val="00790F9F"/>
    <w:rsid w:val="007C09BF"/>
    <w:rsid w:val="0084023C"/>
    <w:rsid w:val="00870906"/>
    <w:rsid w:val="00885BF1"/>
    <w:rsid w:val="008C4163"/>
    <w:rsid w:val="008C776D"/>
    <w:rsid w:val="008E3503"/>
    <w:rsid w:val="00911572"/>
    <w:rsid w:val="00952CC2"/>
    <w:rsid w:val="009E2BD4"/>
    <w:rsid w:val="00A613A1"/>
    <w:rsid w:val="00A7145C"/>
    <w:rsid w:val="00A95E9C"/>
    <w:rsid w:val="00AC4461"/>
    <w:rsid w:val="00AC7049"/>
    <w:rsid w:val="00B020CB"/>
    <w:rsid w:val="00B2082C"/>
    <w:rsid w:val="00B55E20"/>
    <w:rsid w:val="00B64B89"/>
    <w:rsid w:val="00BB3434"/>
    <w:rsid w:val="00BC33D5"/>
    <w:rsid w:val="00C048A6"/>
    <w:rsid w:val="00C143BA"/>
    <w:rsid w:val="00C34397"/>
    <w:rsid w:val="00C530D8"/>
    <w:rsid w:val="00CD0341"/>
    <w:rsid w:val="00D856FE"/>
    <w:rsid w:val="00D971D4"/>
    <w:rsid w:val="00DA0C5B"/>
    <w:rsid w:val="00DA493B"/>
    <w:rsid w:val="00DC3716"/>
    <w:rsid w:val="00E05727"/>
    <w:rsid w:val="00E57E58"/>
    <w:rsid w:val="00E74AEC"/>
    <w:rsid w:val="00E9206E"/>
    <w:rsid w:val="00F16C92"/>
    <w:rsid w:val="00F36E94"/>
    <w:rsid w:val="00F51C92"/>
    <w:rsid w:val="00F53DA7"/>
    <w:rsid w:val="00F731F0"/>
    <w:rsid w:val="00FB344F"/>
    <w:rsid w:val="00FC2D98"/>
    <w:rsid w:val="00F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6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86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6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86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4686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customStyle="1" w:styleId="ShadingIndentinNormal">
    <w:name w:val="Shading Indent in Normal"/>
    <w:basedOn w:val="Normal"/>
    <w:rsid w:val="0004686D"/>
    <w:pPr>
      <w:shd w:val="pct10" w:color="auto" w:fill="auto"/>
      <w:ind w:left="720" w:right="720"/>
    </w:pPr>
    <w:rPr>
      <w:rFonts w:eastAsia="Times New Roman" w:cs="Times New Roman"/>
      <w:b/>
      <w:sz w:val="20"/>
      <w:szCs w:val="24"/>
    </w:rPr>
  </w:style>
  <w:style w:type="paragraph" w:customStyle="1" w:styleId="MacPacTrailer">
    <w:name w:val="MacPac Trailer"/>
    <w:rsid w:val="00B2082C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42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6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86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6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86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4686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customStyle="1" w:styleId="ShadingIndentinNormal">
    <w:name w:val="Shading Indent in Normal"/>
    <w:basedOn w:val="Normal"/>
    <w:rsid w:val="0004686D"/>
    <w:pPr>
      <w:shd w:val="pct10" w:color="auto" w:fill="auto"/>
      <w:ind w:left="720" w:right="720"/>
    </w:pPr>
    <w:rPr>
      <w:rFonts w:eastAsia="Times New Roman" w:cs="Times New Roman"/>
      <w:b/>
      <w:sz w:val="20"/>
      <w:szCs w:val="24"/>
    </w:rPr>
  </w:style>
  <w:style w:type="paragraph" w:customStyle="1" w:styleId="MacPacTrailer">
    <w:name w:val="MacPac Trailer"/>
    <w:rsid w:val="00B2082C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4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FE89804B.dotm</Template>
  <TotalTime>4</TotalTime>
  <Pages>3</Pages>
  <Words>783</Words>
  <Characters>4726</Characters>
  <Application>Microsoft Office Word</Application>
  <DocSecurity>0</DocSecurity>
  <Lines>89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and Disclosing Information for Payment Purposes</vt:lpstr>
    </vt:vector>
  </TitlesOfParts>
  <Company>Gray Plant Mooty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and Disclosing Information for Payment Purposes</dc:title>
  <dc:subject>Payment</dc:subject>
  <dc:creator>Reiland, Julia C.</dc:creator>
  <cp:lastModifiedBy>Schue, Lila M.</cp:lastModifiedBy>
  <cp:revision>5</cp:revision>
  <dcterms:created xsi:type="dcterms:W3CDTF">2017-01-10T22:16:00Z</dcterms:created>
  <dcterms:modified xsi:type="dcterms:W3CDTF">2017-02-06T22:48:00Z</dcterms:modified>
  <cp:category>Foundations in Privacy Toolkit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WS_TRACKING_ID">
    <vt:lpwstr>470aba70-afa6-4933-ab09-2ce499cc10ec</vt:lpwstr>
  </property>
</Properties>
</file>