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AC" w:rsidRDefault="00BC67AC" w:rsidP="00BC67AC">
      <w:pPr>
        <w:widowControl w:val="0"/>
        <w:jc w:val="center"/>
        <w:rPr>
          <w:rFonts w:eastAsia="Times New Roman" w:cs="Times New Roman"/>
          <w:b/>
          <w:szCs w:val="24"/>
        </w:rPr>
      </w:pPr>
      <w:bookmarkStart w:id="0" w:name="_GoBack"/>
      <w:bookmarkEnd w:id="0"/>
      <w:r>
        <w:rPr>
          <w:rFonts w:eastAsia="Times New Roman" w:cs="Times New Roman"/>
          <w:b/>
          <w:szCs w:val="24"/>
        </w:rPr>
        <w:t xml:space="preserve">USING AND DISCLOSING INFORMATION FOR HEALTH CARE OPERATIONS </w:t>
      </w:r>
    </w:p>
    <w:p w:rsidR="00BC67AC" w:rsidRPr="00C1480B" w:rsidRDefault="00BC67AC" w:rsidP="00BC67AC">
      <w:pPr>
        <w:widowControl w:val="0"/>
        <w:jc w:val="center"/>
        <w:rPr>
          <w:rFonts w:eastAsia="Times New Roman" w:cs="Times New Roman"/>
          <w:b/>
          <w:szCs w:val="24"/>
        </w:rPr>
      </w:pPr>
    </w:p>
    <w:p w:rsidR="00BC67AC" w:rsidRPr="00C1480B" w:rsidRDefault="00BC67AC" w:rsidP="00BC67AC">
      <w:pPr>
        <w:widowControl w:val="0"/>
        <w:jc w:val="center"/>
        <w:rPr>
          <w:rFonts w:eastAsia="Times New Roman" w:cs="Times New Roman"/>
          <w:b/>
          <w:szCs w:val="24"/>
        </w:rPr>
      </w:pPr>
      <w:r w:rsidRPr="00C1480B">
        <w:rPr>
          <w:rFonts w:eastAsia="Times New Roman" w:cs="Times New Roman"/>
          <w:b/>
          <w:szCs w:val="24"/>
        </w:rPr>
        <w:t>Policy Number: [Enter]</w:t>
      </w:r>
    </w:p>
    <w:p w:rsidR="00BC67AC" w:rsidRPr="00C1480B" w:rsidRDefault="00BC67AC" w:rsidP="00BC67AC">
      <w:pPr>
        <w:widowControl w:val="0"/>
        <w:jc w:val="center"/>
        <w:rPr>
          <w:rFonts w:eastAsia="Times New Roman" w:cs="Times New Roman"/>
          <w:b/>
          <w:szCs w:val="24"/>
        </w:rPr>
      </w:pPr>
      <w:r w:rsidRPr="00C1480B">
        <w:rPr>
          <w:rFonts w:eastAsia="Times New Roman" w:cs="Times New Roman"/>
          <w:b/>
          <w:szCs w:val="24"/>
        </w:rPr>
        <w:t>Effective Date: [Enter]</w:t>
      </w:r>
    </w:p>
    <w:p w:rsidR="00AA5CC7" w:rsidRPr="00E6040D" w:rsidRDefault="00AA5CC7" w:rsidP="00AA5CC7">
      <w:pPr>
        <w:numPr>
          <w:ilvl w:val="0"/>
          <w:numId w:val="1"/>
        </w:numPr>
        <w:spacing w:after="240" w:line="276" w:lineRule="auto"/>
        <w:jc w:val="both"/>
        <w:rPr>
          <w:rFonts w:eastAsia="Times New Roman" w:cs="Times New Roman"/>
          <w:b/>
          <w:szCs w:val="24"/>
        </w:rPr>
      </w:pPr>
      <w:r w:rsidRPr="00E6040D">
        <w:rPr>
          <w:rFonts w:eastAsia="Times New Roman" w:cs="Times New Roman"/>
          <w:b/>
          <w:szCs w:val="24"/>
        </w:rPr>
        <w:t>Policy</w:t>
      </w:r>
    </w:p>
    <w:p w:rsidR="00AA5CC7" w:rsidRPr="00E6040D" w:rsidRDefault="00AA5CC7" w:rsidP="00AA5CC7">
      <w:pPr>
        <w:numPr>
          <w:ilvl w:val="1"/>
          <w:numId w:val="1"/>
        </w:numPr>
        <w:spacing w:after="240" w:line="276" w:lineRule="auto"/>
        <w:jc w:val="both"/>
        <w:rPr>
          <w:rFonts w:eastAsia="Times New Roman" w:cs="Times New Roman"/>
          <w:b/>
          <w:szCs w:val="24"/>
        </w:rPr>
      </w:pPr>
      <w:r w:rsidRPr="00E6040D">
        <w:rPr>
          <w:rFonts w:eastAsia="Times New Roman" w:cs="Times New Roman"/>
          <w:b/>
          <w:szCs w:val="24"/>
        </w:rPr>
        <w:t>Purpose</w:t>
      </w:r>
    </w:p>
    <w:p w:rsidR="00AA5CC7" w:rsidRPr="00E6040D" w:rsidRDefault="00AA5CC7" w:rsidP="00AA5CC7">
      <w:pPr>
        <w:spacing w:after="240"/>
        <w:ind w:left="720"/>
        <w:jc w:val="both"/>
        <w:rPr>
          <w:rFonts w:eastAsia="Times New Roman" w:cs="Times New Roman"/>
          <w:szCs w:val="24"/>
        </w:rPr>
      </w:pPr>
      <w:r w:rsidRPr="00E6040D">
        <w:rPr>
          <w:rFonts w:eastAsia="Times New Roman" w:cs="Times New Roman"/>
          <w:szCs w:val="24"/>
        </w:rPr>
        <w:t>This policy establishes guidelines to be followed by</w:t>
      </w:r>
      <w:r w:rsidRPr="00E6040D">
        <w:rPr>
          <w:rFonts w:eastAsia="Times New Roman" w:cs="Times New Roman"/>
          <w:i/>
          <w:szCs w:val="24"/>
        </w:rPr>
        <w:t xml:space="preserve"> </w:t>
      </w:r>
      <w:r w:rsidRPr="00C32AE7">
        <w:rPr>
          <w:rFonts w:eastAsia="Times New Roman" w:cs="Times New Roman"/>
          <w:szCs w:val="24"/>
        </w:rPr>
        <w:t>[</w:t>
      </w:r>
      <w:r>
        <w:rPr>
          <w:rFonts w:eastAsia="Times New Roman" w:cs="Times New Roman"/>
          <w:i/>
          <w:szCs w:val="24"/>
        </w:rPr>
        <w:t>Organization</w:t>
      </w:r>
      <w:r w:rsidRPr="00C32AE7">
        <w:rPr>
          <w:rFonts w:eastAsia="Times New Roman" w:cs="Times New Roman"/>
          <w:szCs w:val="24"/>
        </w:rPr>
        <w:t>]’s</w:t>
      </w:r>
      <w:r w:rsidRPr="00E6040D">
        <w:rPr>
          <w:rFonts w:eastAsia="Times New Roman" w:cs="Times New Roman"/>
          <w:i/>
          <w:szCs w:val="24"/>
        </w:rPr>
        <w:t xml:space="preserve"> </w:t>
      </w:r>
      <w:r w:rsidRPr="00E6040D">
        <w:rPr>
          <w:rFonts w:eastAsia="Times New Roman" w:cs="Times New Roman"/>
          <w:szCs w:val="24"/>
        </w:rPr>
        <w:t xml:space="preserve">workforce when using or disclosing </w:t>
      </w:r>
      <w:r w:rsidR="008A028C">
        <w:rPr>
          <w:rFonts w:eastAsia="Times New Roman" w:cs="Times New Roman"/>
          <w:szCs w:val="24"/>
        </w:rPr>
        <w:t xml:space="preserve">information for </w:t>
      </w:r>
      <w:r w:rsidR="00A00DE4">
        <w:rPr>
          <w:rFonts w:eastAsia="Times New Roman" w:cs="Times New Roman"/>
          <w:szCs w:val="24"/>
        </w:rPr>
        <w:t>Health Care Operations</w:t>
      </w:r>
      <w:r w:rsidRPr="00E6040D">
        <w:rPr>
          <w:rFonts w:eastAsia="Times New Roman" w:cs="Times New Roman"/>
          <w:szCs w:val="24"/>
        </w:rPr>
        <w:t>.</w:t>
      </w:r>
    </w:p>
    <w:p w:rsidR="00AA5CC7" w:rsidRPr="00E6040D" w:rsidRDefault="00AA5CC7" w:rsidP="00AA5CC7">
      <w:pPr>
        <w:numPr>
          <w:ilvl w:val="1"/>
          <w:numId w:val="1"/>
        </w:numPr>
        <w:spacing w:after="240" w:line="276" w:lineRule="auto"/>
        <w:jc w:val="both"/>
        <w:rPr>
          <w:rFonts w:eastAsia="Times New Roman" w:cs="Times New Roman"/>
          <w:b/>
          <w:szCs w:val="24"/>
        </w:rPr>
      </w:pPr>
      <w:r w:rsidRPr="00E6040D">
        <w:rPr>
          <w:rFonts w:eastAsia="Times New Roman" w:cs="Times New Roman"/>
          <w:b/>
          <w:szCs w:val="24"/>
        </w:rPr>
        <w:t>Policy Implementation—General Rule</w:t>
      </w:r>
    </w:p>
    <w:p w:rsidR="004B61D9" w:rsidRDefault="004B61D9" w:rsidP="00AA5CC7">
      <w:pPr>
        <w:spacing w:after="240"/>
        <w:ind w:left="720"/>
        <w:jc w:val="both"/>
        <w:rPr>
          <w:rFonts w:eastAsia="Times New Roman" w:cs="Times New Roman"/>
          <w:szCs w:val="24"/>
        </w:rPr>
      </w:pPr>
      <w:r w:rsidRPr="00C32AE7">
        <w:rPr>
          <w:rFonts w:eastAsia="Times New Roman" w:cs="Times New Roman"/>
          <w:szCs w:val="24"/>
          <w:u w:val="single"/>
        </w:rPr>
        <w:t>[</w:t>
      </w:r>
      <w:r w:rsidRPr="004B61D9">
        <w:rPr>
          <w:rFonts w:eastAsia="Times New Roman" w:cs="Times New Roman"/>
          <w:i/>
          <w:szCs w:val="24"/>
          <w:u w:val="single"/>
        </w:rPr>
        <w:t>Organization</w:t>
      </w:r>
      <w:r w:rsidRPr="00C32AE7">
        <w:rPr>
          <w:rFonts w:eastAsia="Times New Roman" w:cs="Times New Roman"/>
          <w:szCs w:val="24"/>
          <w:u w:val="single"/>
        </w:rPr>
        <w:t>]</w:t>
      </w:r>
      <w:r w:rsidRPr="004B61D9">
        <w:rPr>
          <w:rFonts w:eastAsia="Times New Roman" w:cs="Times New Roman"/>
          <w:szCs w:val="24"/>
          <w:u w:val="single"/>
        </w:rPr>
        <w:t>’s Own Health Care Operations</w:t>
      </w:r>
      <w:r>
        <w:rPr>
          <w:rFonts w:eastAsia="Times New Roman" w:cs="Times New Roman"/>
          <w:szCs w:val="24"/>
        </w:rPr>
        <w:t xml:space="preserve"> </w:t>
      </w:r>
    </w:p>
    <w:p w:rsidR="00AA5CC7" w:rsidRDefault="00AA5CC7" w:rsidP="00AA5CC7">
      <w:pPr>
        <w:spacing w:after="240"/>
        <w:ind w:left="720"/>
        <w:jc w:val="both"/>
      </w:pPr>
      <w:r w:rsidRPr="00E6040D">
        <w:rPr>
          <w:rFonts w:eastAsia="Times New Roman" w:cs="Times New Roman"/>
          <w:szCs w:val="24"/>
        </w:rPr>
        <w:t xml:space="preserve">The general rule is that </w:t>
      </w:r>
      <w:r w:rsidRPr="00C32AE7">
        <w:rPr>
          <w:rFonts w:eastAsia="Times New Roman" w:cs="Times New Roman"/>
          <w:szCs w:val="24"/>
        </w:rPr>
        <w:t>[</w:t>
      </w:r>
      <w:r>
        <w:rPr>
          <w:rFonts w:eastAsia="Times New Roman" w:cs="Times New Roman"/>
          <w:i/>
          <w:szCs w:val="24"/>
        </w:rPr>
        <w:t>Organization</w:t>
      </w:r>
      <w:r w:rsidRPr="00C32AE7">
        <w:rPr>
          <w:rFonts w:eastAsia="Times New Roman" w:cs="Times New Roman"/>
          <w:szCs w:val="24"/>
        </w:rPr>
        <w:t>]</w:t>
      </w:r>
      <w:r>
        <w:rPr>
          <w:rFonts w:eastAsia="Times New Roman" w:cs="Times New Roman"/>
          <w:i/>
          <w:szCs w:val="24"/>
        </w:rPr>
        <w:t xml:space="preserve"> </w:t>
      </w:r>
      <w:r w:rsidRPr="00E6040D">
        <w:rPr>
          <w:rFonts w:eastAsia="Times New Roman" w:cs="Times New Roman"/>
          <w:szCs w:val="24"/>
        </w:rPr>
        <w:t xml:space="preserve">or its workforce </w:t>
      </w:r>
      <w:r>
        <w:rPr>
          <w:rFonts w:eastAsia="Times New Roman" w:cs="Times New Roman"/>
          <w:szCs w:val="24"/>
        </w:rPr>
        <w:t xml:space="preserve">may use or disclose PHI without an individual’s HIPAA authorization for </w:t>
      </w:r>
      <w:r w:rsidR="004B61D9" w:rsidRPr="00C32AE7">
        <w:rPr>
          <w:rFonts w:eastAsia="Times New Roman" w:cs="Times New Roman"/>
          <w:szCs w:val="24"/>
        </w:rPr>
        <w:t>[</w:t>
      </w:r>
      <w:r w:rsidR="004B61D9" w:rsidRPr="004B61D9">
        <w:rPr>
          <w:rFonts w:eastAsia="Times New Roman" w:cs="Times New Roman"/>
          <w:i/>
          <w:szCs w:val="24"/>
        </w:rPr>
        <w:t>Organization</w:t>
      </w:r>
      <w:r w:rsidR="004B61D9" w:rsidRPr="00C32AE7">
        <w:rPr>
          <w:rFonts w:eastAsia="Times New Roman" w:cs="Times New Roman"/>
          <w:szCs w:val="24"/>
        </w:rPr>
        <w:t>]</w:t>
      </w:r>
      <w:r w:rsidR="004B61D9">
        <w:rPr>
          <w:rFonts w:eastAsia="Times New Roman" w:cs="Times New Roman"/>
          <w:szCs w:val="24"/>
        </w:rPr>
        <w:t xml:space="preserve">’s own </w:t>
      </w:r>
      <w:r w:rsidR="00A00DE4">
        <w:rPr>
          <w:rFonts w:eastAsia="Times New Roman" w:cs="Times New Roman"/>
          <w:szCs w:val="24"/>
        </w:rPr>
        <w:t>Health Care O</w:t>
      </w:r>
      <w:r w:rsidR="00C32AE7">
        <w:rPr>
          <w:rFonts w:eastAsia="Times New Roman" w:cs="Times New Roman"/>
          <w:szCs w:val="24"/>
        </w:rPr>
        <w:t xml:space="preserve">perations purposes. </w:t>
      </w:r>
      <w:r w:rsidR="00A00DE4">
        <w:rPr>
          <w:rFonts w:cs="Times New Roman"/>
          <w:color w:val="000000"/>
          <w:szCs w:val="24"/>
          <w:shd w:val="clear" w:color="auto" w:fill="FFFFFF"/>
        </w:rPr>
        <w:t>“Health Care O</w:t>
      </w:r>
      <w:r w:rsidRPr="00215AAC">
        <w:rPr>
          <w:rFonts w:cs="Times New Roman"/>
          <w:color w:val="000000"/>
          <w:szCs w:val="24"/>
          <w:shd w:val="clear" w:color="auto" w:fill="FFFFFF"/>
        </w:rPr>
        <w:t xml:space="preserve">perations” is broadly defined and includes </w:t>
      </w:r>
      <w:r w:rsidRPr="00215AAC">
        <w:t xml:space="preserve">certain administrative, financial, legal, and quality improvement activities that are necessary to operate </w:t>
      </w:r>
      <w:r w:rsidR="00EC4620" w:rsidRPr="00C32AE7">
        <w:t>[</w:t>
      </w:r>
      <w:r w:rsidR="00EC4620" w:rsidRPr="00EC4620">
        <w:rPr>
          <w:i/>
        </w:rPr>
        <w:t>Organization</w:t>
      </w:r>
      <w:r w:rsidR="00EC4620" w:rsidRPr="00C32AE7">
        <w:t>]</w:t>
      </w:r>
      <w:r w:rsidR="00EC4620">
        <w:t>’s</w:t>
      </w:r>
      <w:r w:rsidRPr="00215AAC">
        <w:t xml:space="preserve"> business and provide treatment services.</w:t>
      </w:r>
      <w:r>
        <w:t xml:space="preserve">  </w:t>
      </w:r>
      <w:r w:rsidR="00A00DE4">
        <w:t>See Policy number [Enter], Definitions, for the full definition of “Health Care Operations</w:t>
      </w:r>
      <w:r w:rsidR="00C32AE7">
        <w:t>.</w:t>
      </w:r>
      <w:r w:rsidR="00A00DE4">
        <w:t xml:space="preserve">”  </w:t>
      </w:r>
    </w:p>
    <w:p w:rsidR="00EC4620" w:rsidRDefault="007B0DF3" w:rsidP="00EC4620">
      <w:pPr>
        <w:shd w:val="clear" w:color="auto" w:fill="D9D9D9"/>
        <w:spacing w:after="240"/>
        <w:ind w:left="720"/>
        <w:jc w:val="both"/>
        <w:rPr>
          <w:rFonts w:cs="Times New Roman"/>
          <w:b/>
          <w:szCs w:val="24"/>
        </w:rPr>
      </w:pPr>
      <w:proofErr w:type="gramStart"/>
      <w:r w:rsidRPr="007B0DF3">
        <w:rPr>
          <w:rFonts w:eastAsia="Times New Roman" w:cs="Times New Roman"/>
          <w:b/>
          <w:szCs w:val="24"/>
          <w:u w:val="single"/>
        </w:rPr>
        <w:t>Minnesota Law</w:t>
      </w:r>
      <w:r w:rsidR="00C32AE7">
        <w:rPr>
          <w:rFonts w:eastAsia="Times New Roman" w:cs="Times New Roman"/>
          <w:b/>
          <w:szCs w:val="24"/>
        </w:rPr>
        <w:t>.</w:t>
      </w:r>
      <w:proofErr w:type="gramEnd"/>
      <w:r w:rsidR="00C32AE7">
        <w:rPr>
          <w:rFonts w:eastAsia="Times New Roman" w:cs="Times New Roman"/>
          <w:b/>
          <w:szCs w:val="24"/>
        </w:rPr>
        <w:t xml:space="preserve"> </w:t>
      </w:r>
      <w:r w:rsidR="00EC4620">
        <w:rPr>
          <w:rFonts w:eastAsia="Times New Roman" w:cs="Times New Roman"/>
          <w:b/>
          <w:szCs w:val="24"/>
        </w:rPr>
        <w:t xml:space="preserve">Minnesota law generally requires </w:t>
      </w:r>
      <w:r w:rsidR="00EC4620" w:rsidRPr="00C32AE7">
        <w:rPr>
          <w:rFonts w:eastAsia="Times New Roman" w:cs="Times New Roman"/>
          <w:b/>
          <w:szCs w:val="24"/>
        </w:rPr>
        <w:t>[</w:t>
      </w:r>
      <w:r w:rsidR="00EC4620" w:rsidRPr="00EC4620">
        <w:rPr>
          <w:rFonts w:eastAsia="Times New Roman" w:cs="Times New Roman"/>
          <w:b/>
          <w:i/>
          <w:szCs w:val="24"/>
        </w:rPr>
        <w:t>Organization</w:t>
      </w:r>
      <w:r w:rsidR="00EC4620" w:rsidRPr="00C32AE7">
        <w:rPr>
          <w:rFonts w:eastAsia="Times New Roman" w:cs="Times New Roman"/>
          <w:b/>
          <w:szCs w:val="24"/>
        </w:rPr>
        <w:t>]</w:t>
      </w:r>
      <w:r w:rsidR="00EC4620" w:rsidRPr="00EC4620">
        <w:rPr>
          <w:rFonts w:eastAsia="Times New Roman" w:cs="Times New Roman"/>
          <w:b/>
          <w:i/>
          <w:szCs w:val="24"/>
        </w:rPr>
        <w:t xml:space="preserve"> </w:t>
      </w:r>
      <w:r w:rsidR="00EC4620">
        <w:rPr>
          <w:rFonts w:eastAsia="Times New Roman" w:cs="Times New Roman"/>
          <w:b/>
          <w:szCs w:val="24"/>
        </w:rPr>
        <w:t xml:space="preserve">to obtain signed and dated patient consent prior to releasing health records, unless certain exceptions apply. </w:t>
      </w:r>
      <w:r w:rsidRPr="00124B4F">
        <w:rPr>
          <w:rFonts w:cs="Times New Roman"/>
          <w:b/>
          <w:szCs w:val="24"/>
        </w:rPr>
        <w:t>[</w:t>
      </w:r>
      <w:r w:rsidRPr="00124B4F">
        <w:rPr>
          <w:rFonts w:cs="Times New Roman"/>
          <w:b/>
          <w:i/>
          <w:szCs w:val="24"/>
        </w:rPr>
        <w:t>Organization</w:t>
      </w:r>
      <w:r w:rsidRPr="00124B4F">
        <w:rPr>
          <w:rFonts w:cs="Times New Roman"/>
          <w:b/>
          <w:szCs w:val="24"/>
        </w:rPr>
        <w:t>] includes general language in its standard consent form indicating that [</w:t>
      </w:r>
      <w:r w:rsidRPr="00124B4F">
        <w:rPr>
          <w:rFonts w:cs="Times New Roman"/>
          <w:b/>
          <w:i/>
          <w:szCs w:val="24"/>
        </w:rPr>
        <w:t>Organization</w:t>
      </w:r>
      <w:r w:rsidRPr="00124B4F">
        <w:rPr>
          <w:rFonts w:cs="Times New Roman"/>
          <w:b/>
          <w:szCs w:val="24"/>
        </w:rPr>
        <w:t xml:space="preserve">] can disclose patient information </w:t>
      </w:r>
      <w:r>
        <w:rPr>
          <w:rFonts w:cs="Times New Roman"/>
          <w:b/>
          <w:szCs w:val="24"/>
        </w:rPr>
        <w:t xml:space="preserve">for health care operations purposes. </w:t>
      </w:r>
      <w:r w:rsidRPr="00124B4F">
        <w:rPr>
          <w:rFonts w:cs="Times New Roman"/>
          <w:b/>
          <w:szCs w:val="24"/>
        </w:rPr>
        <w:t>This satisfies the consent requirement under Minnesota law.</w:t>
      </w:r>
      <w:r w:rsidRPr="00BD46DE">
        <w:rPr>
          <w:rFonts w:eastAsia="Times New Roman" w:cs="Times New Roman"/>
          <w:b/>
          <w:i/>
          <w:szCs w:val="24"/>
        </w:rPr>
        <w:t xml:space="preserve"> </w:t>
      </w:r>
      <w:r w:rsidR="00EC4620" w:rsidRPr="00C32AE7">
        <w:rPr>
          <w:rFonts w:eastAsia="Times New Roman" w:cs="Times New Roman"/>
          <w:b/>
          <w:szCs w:val="24"/>
        </w:rPr>
        <w:t>[</w:t>
      </w:r>
      <w:r w:rsidR="00EC4620" w:rsidRPr="00BD46DE">
        <w:rPr>
          <w:rFonts w:eastAsia="Times New Roman" w:cs="Times New Roman"/>
          <w:b/>
          <w:i/>
          <w:szCs w:val="24"/>
        </w:rPr>
        <w:t>Organization</w:t>
      </w:r>
      <w:r w:rsidR="00EC4620" w:rsidRPr="00C32AE7">
        <w:rPr>
          <w:rFonts w:eastAsia="Times New Roman" w:cs="Times New Roman"/>
          <w:b/>
          <w:szCs w:val="24"/>
        </w:rPr>
        <w:t>]</w:t>
      </w:r>
      <w:r w:rsidR="00EC4620" w:rsidRPr="00BD46DE">
        <w:rPr>
          <w:rFonts w:eastAsia="Times New Roman" w:cs="Times New Roman"/>
          <w:b/>
          <w:i/>
          <w:szCs w:val="24"/>
        </w:rPr>
        <w:t xml:space="preserve"> </w:t>
      </w:r>
      <w:r w:rsidR="00EC4620">
        <w:rPr>
          <w:rFonts w:eastAsia="Times New Roman" w:cs="Times New Roman"/>
          <w:b/>
          <w:szCs w:val="24"/>
        </w:rPr>
        <w:t>states in its Notice of Privacy Practices that it may use and disclose informat</w:t>
      </w:r>
      <w:r w:rsidR="00A00DE4">
        <w:rPr>
          <w:rFonts w:eastAsia="Times New Roman" w:cs="Times New Roman"/>
          <w:b/>
          <w:szCs w:val="24"/>
        </w:rPr>
        <w:t>ion for Health Care O</w:t>
      </w:r>
      <w:r w:rsidR="00EC4620">
        <w:rPr>
          <w:rFonts w:eastAsia="Times New Roman" w:cs="Times New Roman"/>
          <w:b/>
          <w:szCs w:val="24"/>
        </w:rPr>
        <w:t xml:space="preserve">perations; </w:t>
      </w:r>
      <w:r w:rsidRPr="00124B4F">
        <w:rPr>
          <w:rFonts w:cs="Times New Roman"/>
          <w:b/>
          <w:szCs w:val="24"/>
        </w:rPr>
        <w:t>if the</w:t>
      </w:r>
      <w:r>
        <w:rPr>
          <w:rFonts w:cs="Times New Roman"/>
          <w:b/>
          <w:szCs w:val="24"/>
        </w:rPr>
        <w:t>re is language by which</w:t>
      </w:r>
      <w:r w:rsidRPr="00124B4F">
        <w:rPr>
          <w:rFonts w:cs="Times New Roman"/>
          <w:b/>
          <w:szCs w:val="24"/>
        </w:rPr>
        <w:t xml:space="preserve"> patient acknowledges and consents to the </w:t>
      </w:r>
      <w:r>
        <w:rPr>
          <w:rFonts w:cs="Times New Roman"/>
          <w:b/>
          <w:szCs w:val="24"/>
        </w:rPr>
        <w:t xml:space="preserve">activities described as </w:t>
      </w:r>
      <w:r w:rsidRPr="00124B4F">
        <w:rPr>
          <w:rFonts w:cs="Times New Roman"/>
          <w:b/>
          <w:szCs w:val="24"/>
        </w:rPr>
        <w:t>set forth in the Notice of Privacy Practices</w:t>
      </w:r>
      <w:r>
        <w:rPr>
          <w:rFonts w:cs="Times New Roman"/>
          <w:b/>
          <w:szCs w:val="24"/>
        </w:rPr>
        <w:t xml:space="preserve"> in </w:t>
      </w:r>
      <w:r w:rsidRPr="00C32AE7">
        <w:rPr>
          <w:rFonts w:cs="Times New Roman"/>
          <w:b/>
          <w:szCs w:val="24"/>
        </w:rPr>
        <w:t>[</w:t>
      </w:r>
      <w:r>
        <w:rPr>
          <w:rFonts w:cs="Times New Roman"/>
          <w:b/>
          <w:i/>
          <w:szCs w:val="24"/>
        </w:rPr>
        <w:t>Organization</w:t>
      </w:r>
      <w:r w:rsidRPr="00C32AE7">
        <w:rPr>
          <w:rFonts w:cs="Times New Roman"/>
          <w:b/>
          <w:szCs w:val="24"/>
        </w:rPr>
        <w:t>]</w:t>
      </w:r>
      <w:r w:rsidRPr="007B0DF3">
        <w:rPr>
          <w:rFonts w:cs="Times New Roman"/>
          <w:b/>
          <w:szCs w:val="24"/>
        </w:rPr>
        <w:t xml:space="preserve">’s </w:t>
      </w:r>
      <w:r>
        <w:rPr>
          <w:rFonts w:cs="Times New Roman"/>
          <w:b/>
          <w:szCs w:val="24"/>
        </w:rPr>
        <w:t>consent form</w:t>
      </w:r>
      <w:r w:rsidRPr="00124B4F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 xml:space="preserve">this would be an alternative option for the patient to </w:t>
      </w:r>
      <w:r w:rsidRPr="00124B4F">
        <w:rPr>
          <w:rFonts w:cs="Times New Roman"/>
          <w:b/>
          <w:szCs w:val="24"/>
        </w:rPr>
        <w:t>provide the necessary consent under Minnesota law.</w:t>
      </w:r>
    </w:p>
    <w:p w:rsidR="00103D14" w:rsidRDefault="00103D14" w:rsidP="00EC4620">
      <w:pPr>
        <w:shd w:val="clear" w:color="auto" w:fill="D9D9D9"/>
        <w:spacing w:after="240"/>
        <w:ind w:left="72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For more information about patient consent requirements under Minnesota law, refer to Policy [Enter], Consent to Disclose Health Information under Minnesota Law.  </w:t>
      </w:r>
    </w:p>
    <w:p w:rsidR="00103D14" w:rsidRDefault="00103D14" w:rsidP="00EC4620">
      <w:pPr>
        <w:shd w:val="clear" w:color="auto" w:fill="D9D9D9"/>
        <w:spacing w:after="240"/>
        <w:ind w:left="720"/>
        <w:jc w:val="both"/>
        <w:rPr>
          <w:rFonts w:eastAsia="Times New Roman" w:cs="Times New Roman"/>
          <w:b/>
          <w:szCs w:val="24"/>
        </w:rPr>
      </w:pPr>
      <w:r>
        <w:rPr>
          <w:rFonts w:cs="Times New Roman"/>
          <w:b/>
          <w:szCs w:val="24"/>
        </w:rPr>
        <w:t>For information about unique requirements under the Minnesota Data Practices Act, refer to the guidance document entitled</w:t>
      </w:r>
      <w:r w:rsidR="00042E16">
        <w:rPr>
          <w:rFonts w:cs="Times New Roman"/>
          <w:b/>
          <w:szCs w:val="24"/>
        </w:rPr>
        <w:t>,</w:t>
      </w:r>
      <w:r>
        <w:rPr>
          <w:rFonts w:cs="Times New Roman"/>
          <w:b/>
          <w:szCs w:val="24"/>
        </w:rPr>
        <w:t xml:space="preserve"> “Additional Requirements under the Minnesota Data Practices Act.”</w:t>
      </w:r>
    </w:p>
    <w:p w:rsidR="00DE6624" w:rsidRPr="00EC4620" w:rsidRDefault="00DE6624" w:rsidP="00DE6624">
      <w:pPr>
        <w:shd w:val="clear" w:color="auto" w:fill="FFFFFF" w:themeFill="background1"/>
        <w:spacing w:after="240"/>
        <w:ind w:left="720"/>
        <w:jc w:val="both"/>
        <w:rPr>
          <w:rFonts w:eastAsia="Times New Roman" w:cs="Times New Roman"/>
          <w:b/>
          <w:szCs w:val="24"/>
        </w:rPr>
      </w:pPr>
    </w:p>
    <w:p w:rsidR="004B61D9" w:rsidRPr="00C32AE7" w:rsidRDefault="00C32AE7" w:rsidP="00E77A1B">
      <w:pPr>
        <w:shd w:val="clear" w:color="auto" w:fill="D9D9D9" w:themeFill="background1" w:themeFillShade="D9"/>
        <w:spacing w:after="240"/>
        <w:ind w:left="720"/>
        <w:jc w:val="both"/>
        <w:rPr>
          <w:b/>
        </w:rPr>
      </w:pPr>
      <w:proofErr w:type="gramStart"/>
      <w:r>
        <w:rPr>
          <w:b/>
          <w:u w:val="single"/>
        </w:rPr>
        <w:t xml:space="preserve">Substance Use Disorder Patient </w:t>
      </w:r>
      <w:r w:rsidR="00E77A1B">
        <w:rPr>
          <w:b/>
          <w:u w:val="single"/>
        </w:rPr>
        <w:t>Records</w:t>
      </w:r>
      <w:r w:rsidR="00C332C9">
        <w:rPr>
          <w:b/>
        </w:rPr>
        <w:t>.</w:t>
      </w:r>
      <w:proofErr w:type="gramEnd"/>
      <w:r w:rsidR="00C332C9">
        <w:rPr>
          <w:b/>
        </w:rPr>
        <w:t xml:space="preserve"> </w:t>
      </w:r>
      <w:r w:rsidR="00DE6624" w:rsidRPr="00DE6624">
        <w:rPr>
          <w:b/>
        </w:rPr>
        <w:t>Unique rules apply when [</w:t>
      </w:r>
      <w:r w:rsidR="00DE6624" w:rsidRPr="00DE6624">
        <w:rPr>
          <w:b/>
          <w:i/>
        </w:rPr>
        <w:t>Organization</w:t>
      </w:r>
      <w:r w:rsidR="00DE6624" w:rsidRPr="00DE6624">
        <w:rPr>
          <w:b/>
        </w:rPr>
        <w:t xml:space="preserve">] seeks to </w:t>
      </w:r>
      <w:r w:rsidR="008C0640">
        <w:rPr>
          <w:b/>
        </w:rPr>
        <w:t xml:space="preserve">disclose </w:t>
      </w:r>
      <w:r>
        <w:rPr>
          <w:b/>
        </w:rPr>
        <w:t xml:space="preserve">substance use disorder patient </w:t>
      </w:r>
      <w:r w:rsidR="00E77A1B">
        <w:rPr>
          <w:b/>
        </w:rPr>
        <w:t>records</w:t>
      </w:r>
      <w:r w:rsidR="00A00DE4">
        <w:rPr>
          <w:b/>
        </w:rPr>
        <w:t xml:space="preserve"> for Health Care O</w:t>
      </w:r>
      <w:r>
        <w:rPr>
          <w:b/>
        </w:rPr>
        <w:t xml:space="preserve">perations. </w:t>
      </w:r>
      <w:r w:rsidR="00DE6624" w:rsidRPr="00DE6624">
        <w:rPr>
          <w:b/>
        </w:rPr>
        <w:t>[</w:t>
      </w:r>
      <w:r w:rsidR="00DE6624" w:rsidRPr="00DE6624">
        <w:rPr>
          <w:b/>
          <w:i/>
        </w:rPr>
        <w:t>Organization</w:t>
      </w:r>
      <w:r w:rsidR="00DE6624" w:rsidRPr="00DE6624">
        <w:rPr>
          <w:b/>
        </w:rPr>
        <w:t>] may disclose information without patient consent to a qualified service organization, provided</w:t>
      </w:r>
      <w:r>
        <w:rPr>
          <w:b/>
        </w:rPr>
        <w:t xml:space="preserve"> certain requirements are met.</w:t>
      </w:r>
      <w:r w:rsidR="00C332C9">
        <w:rPr>
          <w:b/>
        </w:rPr>
        <w:t xml:space="preserve"> </w:t>
      </w:r>
      <w:r w:rsidR="00C332C9">
        <w:rPr>
          <w:b/>
          <w:i/>
        </w:rPr>
        <w:t>See</w:t>
      </w:r>
      <w:r w:rsidR="00C332C9">
        <w:rPr>
          <w:b/>
        </w:rPr>
        <w:t xml:space="preserve"> 42 CFR </w:t>
      </w:r>
      <w:r w:rsidR="00C332C9">
        <w:rPr>
          <w:rFonts w:cs="Times New Roman"/>
          <w:b/>
        </w:rPr>
        <w:t>§</w:t>
      </w:r>
      <w:r w:rsidR="00C332C9">
        <w:rPr>
          <w:b/>
        </w:rPr>
        <w:t xml:space="preserve"> </w:t>
      </w:r>
      <w:r w:rsidR="00C332C9">
        <w:rPr>
          <w:b/>
        </w:rPr>
        <w:lastRenderedPageBreak/>
        <w:t>2.12(c</w:t>
      </w:r>
      <w:proofErr w:type="gramStart"/>
      <w:r w:rsidR="00C332C9">
        <w:rPr>
          <w:b/>
        </w:rPr>
        <w:t>)(</w:t>
      </w:r>
      <w:proofErr w:type="gramEnd"/>
      <w:r w:rsidR="00C332C9">
        <w:rPr>
          <w:b/>
        </w:rPr>
        <w:t>4).</w:t>
      </w:r>
      <w:r>
        <w:rPr>
          <w:b/>
        </w:rPr>
        <w:t xml:space="preserve"> </w:t>
      </w:r>
      <w:r w:rsidR="00DE6624" w:rsidRPr="00DE6624">
        <w:rPr>
          <w:b/>
        </w:rPr>
        <w:t>Staff should review policy number</w:t>
      </w:r>
      <w:r w:rsidR="00DE6624">
        <w:rPr>
          <w:b/>
        </w:rPr>
        <w:t xml:space="preserve"> [E</w:t>
      </w:r>
      <w:r w:rsidR="00DE6624" w:rsidRPr="00DE6624">
        <w:rPr>
          <w:b/>
        </w:rPr>
        <w:t>nter], Disclosing Information to Busines</w:t>
      </w:r>
      <w:r w:rsidR="00C332C9">
        <w:rPr>
          <w:b/>
        </w:rPr>
        <w:t xml:space="preserve">s Associates, for more detail. </w:t>
      </w:r>
      <w:r w:rsidR="00DE6624" w:rsidRPr="00DE6624">
        <w:rPr>
          <w:b/>
        </w:rPr>
        <w:t>In addition, [</w:t>
      </w:r>
      <w:r w:rsidR="00DE6624" w:rsidRPr="00DE6624">
        <w:rPr>
          <w:b/>
          <w:i/>
        </w:rPr>
        <w:t>Organization</w:t>
      </w:r>
      <w:r w:rsidR="00DE6624" w:rsidRPr="00DE6624">
        <w:rPr>
          <w:b/>
        </w:rPr>
        <w:t xml:space="preserve">] can disclose </w:t>
      </w:r>
      <w:r w:rsidR="00C332C9">
        <w:rPr>
          <w:b/>
        </w:rPr>
        <w:t xml:space="preserve">substance use disorder patient </w:t>
      </w:r>
      <w:r w:rsidR="00E77A1B">
        <w:rPr>
          <w:b/>
        </w:rPr>
        <w:t>records</w:t>
      </w:r>
      <w:r w:rsidR="00DE6624" w:rsidRPr="00DE6624">
        <w:rPr>
          <w:b/>
        </w:rPr>
        <w:t xml:space="preserve"> without patient consent to an entity with </w:t>
      </w:r>
      <w:r w:rsidR="00F411FE">
        <w:rPr>
          <w:b/>
        </w:rPr>
        <w:t xml:space="preserve">direct </w:t>
      </w:r>
      <w:r w:rsidR="00DE6624" w:rsidRPr="00DE6624">
        <w:rPr>
          <w:b/>
        </w:rPr>
        <w:t>administrative control over [</w:t>
      </w:r>
      <w:r w:rsidR="00DE6624" w:rsidRPr="00DE6624">
        <w:rPr>
          <w:b/>
          <w:i/>
        </w:rPr>
        <w:t>Organization</w:t>
      </w:r>
      <w:r w:rsidR="00F411FE">
        <w:rPr>
          <w:b/>
        </w:rPr>
        <w:t xml:space="preserve">], or for audit and evaluation activities in accordance with 42 C.F.R. § 2.53.  </w:t>
      </w:r>
      <w:r w:rsidR="00DE6624" w:rsidRPr="00DE6624">
        <w:rPr>
          <w:b/>
        </w:rPr>
        <w:t>Staff should consult with [</w:t>
      </w:r>
      <w:r w:rsidR="00DE6624" w:rsidRPr="00DE6624">
        <w:rPr>
          <w:b/>
          <w:i/>
        </w:rPr>
        <w:t>Organization</w:t>
      </w:r>
      <w:r w:rsidR="00DE6624" w:rsidRPr="00DE6624">
        <w:rPr>
          <w:b/>
        </w:rPr>
        <w:t>]’s [</w:t>
      </w:r>
      <w:r w:rsidR="00092C46" w:rsidRPr="00092C46">
        <w:rPr>
          <w:rFonts w:eastAsia="Calibri" w:cs="Times New Roman"/>
          <w:b/>
          <w:i/>
        </w:rPr>
        <w:t>compliance officer/privacy officer/other designee</w:t>
      </w:r>
      <w:r w:rsidR="00DE6624" w:rsidRPr="00092C46">
        <w:rPr>
          <w:b/>
        </w:rPr>
        <w:t>]</w:t>
      </w:r>
      <w:r w:rsidR="00DE6624" w:rsidRPr="00DE6624">
        <w:rPr>
          <w:b/>
        </w:rPr>
        <w:t xml:space="preserve"> to determine whether a disclosure </w:t>
      </w:r>
      <w:r w:rsidR="00F411FE">
        <w:rPr>
          <w:b/>
        </w:rPr>
        <w:t xml:space="preserve">of </w:t>
      </w:r>
      <w:r w:rsidR="00C332C9">
        <w:rPr>
          <w:b/>
        </w:rPr>
        <w:t xml:space="preserve">substance use disorder patient </w:t>
      </w:r>
      <w:r w:rsidR="00E77A1B">
        <w:rPr>
          <w:b/>
        </w:rPr>
        <w:t>records</w:t>
      </w:r>
      <w:r w:rsidR="00C332C9" w:rsidRPr="00DE6624">
        <w:rPr>
          <w:b/>
        </w:rPr>
        <w:t xml:space="preserve"> </w:t>
      </w:r>
      <w:r w:rsidR="00DE6624" w:rsidRPr="00DE6624">
        <w:rPr>
          <w:b/>
        </w:rPr>
        <w:t>is permitted without patient consent.</w:t>
      </w:r>
      <w:r w:rsidR="00F411FE">
        <w:rPr>
          <w:b/>
        </w:rPr>
        <w:t xml:space="preserve"> Additional information can be found in policy number [Enter], Disclosures of </w:t>
      </w:r>
      <w:r>
        <w:rPr>
          <w:b/>
        </w:rPr>
        <w:t>Substance Use Disorder Patient Information</w:t>
      </w:r>
      <w:r w:rsidR="00F411FE">
        <w:rPr>
          <w:b/>
        </w:rPr>
        <w:t>.</w:t>
      </w:r>
    </w:p>
    <w:p w:rsidR="004B61D9" w:rsidRPr="004B61D9" w:rsidRDefault="004B61D9" w:rsidP="00F33D31">
      <w:pPr>
        <w:spacing w:after="240"/>
        <w:ind w:left="720"/>
        <w:rPr>
          <w:u w:val="single"/>
        </w:rPr>
      </w:pPr>
      <w:r w:rsidRPr="004B61D9">
        <w:rPr>
          <w:u w:val="single"/>
        </w:rPr>
        <w:t>Another Entity’s Health Care Operations</w:t>
      </w:r>
    </w:p>
    <w:p w:rsidR="00AA5CC7" w:rsidRPr="00215AAC" w:rsidRDefault="00F33D31" w:rsidP="00E77A1B">
      <w:pPr>
        <w:spacing w:after="240"/>
        <w:ind w:left="720"/>
        <w:jc w:val="both"/>
      </w:pPr>
      <w:r>
        <w:t>In addition</w:t>
      </w:r>
      <w:r w:rsidR="00AA5CC7" w:rsidRPr="00215AAC">
        <w:t xml:space="preserve">, </w:t>
      </w:r>
      <w:r w:rsidR="00AA5CC7" w:rsidRPr="00C32AE7">
        <w:t>[</w:t>
      </w:r>
      <w:r w:rsidR="00AA5CC7" w:rsidRPr="00AA5CC7">
        <w:rPr>
          <w:i/>
        </w:rPr>
        <w:t>Organization</w:t>
      </w:r>
      <w:r w:rsidR="00AA5CC7" w:rsidRPr="00C32AE7">
        <w:t>]</w:t>
      </w:r>
      <w:r w:rsidR="00AA5CC7">
        <w:t xml:space="preserve"> </w:t>
      </w:r>
      <w:r w:rsidR="00AA5CC7" w:rsidRPr="00215AAC">
        <w:t xml:space="preserve">can disclose PHI to </w:t>
      </w:r>
      <w:r w:rsidR="00A00DE4">
        <w:t>another covered entity for the Health Care O</w:t>
      </w:r>
      <w:r w:rsidR="00AA5CC7" w:rsidRPr="00215AAC">
        <w:t>perations of that covered entity in the following circumstances:</w:t>
      </w:r>
    </w:p>
    <w:p w:rsidR="00AA5CC7" w:rsidRPr="00BD46DE" w:rsidRDefault="00AA5CC7" w:rsidP="00E77A1B">
      <w:pPr>
        <w:numPr>
          <w:ilvl w:val="0"/>
          <w:numId w:val="2"/>
        </w:numPr>
        <w:spacing w:after="240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BD46DE">
        <w:t>Each entity either has or had a relationship with the individual who is the subject of the PHI being requested and the PHI pertains to such relationship, and the disclosure is:</w:t>
      </w:r>
    </w:p>
    <w:p w:rsidR="00AA5CC7" w:rsidRPr="00BD46DE" w:rsidRDefault="00AA5CC7" w:rsidP="00E77A1B">
      <w:pPr>
        <w:numPr>
          <w:ilvl w:val="1"/>
          <w:numId w:val="2"/>
        </w:numPr>
        <w:spacing w:after="240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BD46DE">
        <w:t>For conducting quality assessment and improvement activities, or other activ</w:t>
      </w:r>
      <w:r w:rsidR="004B61D9">
        <w:t>ities discussed in subsection (i</w:t>
      </w:r>
      <w:r w:rsidR="00A00DE4">
        <w:t>) of the definition of “Health Care O</w:t>
      </w:r>
      <w:r w:rsidRPr="00BD46DE">
        <w:t>perations”</w:t>
      </w:r>
      <w:r w:rsidR="00BD46DE" w:rsidRPr="00BD46DE">
        <w:t xml:space="preserve"> </w:t>
      </w:r>
      <w:r w:rsidR="004B61D9">
        <w:t>(</w:t>
      </w:r>
      <w:r w:rsidR="004B61D9" w:rsidRPr="004B61D9">
        <w:rPr>
          <w:i/>
        </w:rPr>
        <w:t>see</w:t>
      </w:r>
      <w:r w:rsidR="004B61D9">
        <w:t xml:space="preserve"> </w:t>
      </w:r>
      <w:r w:rsidR="004B61D9" w:rsidRPr="00C32AE7">
        <w:t>[</w:t>
      </w:r>
      <w:r w:rsidR="004B61D9" w:rsidRPr="004B61D9">
        <w:rPr>
          <w:i/>
        </w:rPr>
        <w:t>Organization</w:t>
      </w:r>
      <w:r w:rsidR="004B61D9" w:rsidRPr="00C32AE7">
        <w:t>]</w:t>
      </w:r>
      <w:r w:rsidR="004B61D9">
        <w:t>’s Definitions Policy)</w:t>
      </w:r>
      <w:r w:rsidRPr="00BD46DE">
        <w:t xml:space="preserve">; </w:t>
      </w:r>
    </w:p>
    <w:p w:rsidR="00AA5CC7" w:rsidRPr="00BD46DE" w:rsidRDefault="00AA5CC7" w:rsidP="00E77A1B">
      <w:pPr>
        <w:numPr>
          <w:ilvl w:val="1"/>
          <w:numId w:val="2"/>
        </w:numPr>
        <w:spacing w:after="240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BD46DE">
        <w:t>For reviewing the competence or qualifications of health care professionals, evaluating practitioner and provider performance, and other activiti</w:t>
      </w:r>
      <w:r w:rsidR="004B61D9">
        <w:t>es discussed in subsection (ii</w:t>
      </w:r>
      <w:r w:rsidR="00A00DE4">
        <w:t>) of the definition of “Health Care O</w:t>
      </w:r>
      <w:r w:rsidRPr="00BD46DE">
        <w:t>perations”</w:t>
      </w:r>
      <w:r w:rsidR="00BD46DE" w:rsidRPr="00BD46DE">
        <w:t xml:space="preserve"> </w:t>
      </w:r>
      <w:r w:rsidR="004B61D9">
        <w:t>(</w:t>
      </w:r>
      <w:r w:rsidR="004B61D9" w:rsidRPr="004B61D9">
        <w:rPr>
          <w:i/>
        </w:rPr>
        <w:t>see</w:t>
      </w:r>
      <w:r w:rsidR="004B61D9">
        <w:t xml:space="preserve"> </w:t>
      </w:r>
      <w:r w:rsidR="004B61D9" w:rsidRPr="00C32AE7">
        <w:t>[</w:t>
      </w:r>
      <w:r w:rsidR="004B61D9" w:rsidRPr="004B61D9">
        <w:rPr>
          <w:i/>
        </w:rPr>
        <w:t>Organization</w:t>
      </w:r>
      <w:r w:rsidR="004B61D9" w:rsidRPr="00C32AE7">
        <w:t>]</w:t>
      </w:r>
      <w:r w:rsidR="004B61D9">
        <w:t>’s Definitions Policy)</w:t>
      </w:r>
      <w:r w:rsidRPr="00BD46DE">
        <w:t>; or</w:t>
      </w:r>
    </w:p>
    <w:p w:rsidR="00AA5CC7" w:rsidRPr="00BD46DE" w:rsidRDefault="00AA5CC7" w:rsidP="00E77A1B">
      <w:pPr>
        <w:numPr>
          <w:ilvl w:val="1"/>
          <w:numId w:val="2"/>
        </w:numPr>
        <w:spacing w:after="240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BD46DE">
        <w:t>For the purpose of health care fraud and abuse detection or compliance.</w:t>
      </w:r>
    </w:p>
    <w:p w:rsidR="00AA5CC7" w:rsidRPr="00BD46DE" w:rsidRDefault="00AA5CC7" w:rsidP="00E77A1B">
      <w:pPr>
        <w:numPr>
          <w:ilvl w:val="0"/>
          <w:numId w:val="2"/>
        </w:numPr>
        <w:spacing w:after="240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BD46DE">
        <w:t>A covered entity that participates in an organized health care arrangement (an “OHCA”) may disclose PHI to other pa</w:t>
      </w:r>
      <w:r w:rsidR="00A00DE4">
        <w:t>rticipants in the OHCA for any Health Care O</w:t>
      </w:r>
      <w:r w:rsidRPr="00BD46DE">
        <w:t>perations activities of the OHCA; or</w:t>
      </w:r>
    </w:p>
    <w:p w:rsidR="00BD46DE" w:rsidRPr="00BD46DE" w:rsidRDefault="00AA5CC7" w:rsidP="00E77A1B">
      <w:pPr>
        <w:numPr>
          <w:ilvl w:val="0"/>
          <w:numId w:val="2"/>
        </w:numPr>
        <w:spacing w:after="240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BD46DE">
        <w:t>Pursuant to patient authorization that meets HIPAA standards.</w:t>
      </w:r>
    </w:p>
    <w:p w:rsidR="00BD46DE" w:rsidRPr="00BD46DE" w:rsidRDefault="00BD46DE" w:rsidP="00E77A1B">
      <w:pPr>
        <w:pStyle w:val="ListParagraph"/>
        <w:numPr>
          <w:ilvl w:val="0"/>
          <w:numId w:val="5"/>
        </w:numPr>
        <w:spacing w:after="240"/>
        <w:jc w:val="both"/>
        <w:rPr>
          <w:rFonts w:cs="Times New Roman"/>
          <w:b/>
          <w:color w:val="000000"/>
          <w:szCs w:val="24"/>
          <w:shd w:val="clear" w:color="auto" w:fill="FFFFFF"/>
        </w:rPr>
      </w:pPr>
      <w:r w:rsidRPr="00BD46DE">
        <w:rPr>
          <w:rFonts w:cs="Times New Roman"/>
          <w:b/>
          <w:color w:val="000000"/>
          <w:szCs w:val="24"/>
          <w:shd w:val="clear" w:color="auto" w:fill="FFFFFF"/>
        </w:rPr>
        <w:t>Disclosure of Minimum Necessary</w:t>
      </w:r>
    </w:p>
    <w:p w:rsidR="00AA5CC7" w:rsidRPr="00BD46DE" w:rsidRDefault="00BD46DE" w:rsidP="00E77A1B">
      <w:pPr>
        <w:spacing w:after="240"/>
        <w:ind w:left="720"/>
        <w:jc w:val="both"/>
      </w:pPr>
      <w:r>
        <w:t xml:space="preserve">When </w:t>
      </w:r>
      <w:r w:rsidRPr="00C32AE7">
        <w:t>[</w:t>
      </w:r>
      <w:r w:rsidRPr="004B61D9">
        <w:rPr>
          <w:i/>
        </w:rPr>
        <w:t>Organization</w:t>
      </w:r>
      <w:r w:rsidRPr="00C32AE7">
        <w:t>]</w:t>
      </w:r>
      <w:r>
        <w:t xml:space="preserve"> and its workforce </w:t>
      </w:r>
      <w:r w:rsidR="00F33D31">
        <w:t xml:space="preserve">uses </w:t>
      </w:r>
      <w:r>
        <w:t xml:space="preserve">and discloses </w:t>
      </w:r>
      <w:r w:rsidR="00F33D31">
        <w:t xml:space="preserve">PHI for </w:t>
      </w:r>
      <w:r w:rsidR="00A00DE4">
        <w:t>Health Care O</w:t>
      </w:r>
      <w:r>
        <w:t>perations purposes, or discloses,</w:t>
      </w:r>
      <w:r w:rsidR="00F33D31">
        <w:t xml:space="preserve"> it must </w:t>
      </w:r>
      <w:r>
        <w:t>comply with the minimum necessary rule.  This means that it can use or disclose</w:t>
      </w:r>
      <w:r w:rsidR="00F33D31">
        <w:t xml:space="preserve"> only the information that is necessary. </w:t>
      </w:r>
    </w:p>
    <w:p w:rsidR="00AA5CC7" w:rsidRPr="00E6040D" w:rsidRDefault="00AA5CC7" w:rsidP="00E77A1B">
      <w:pPr>
        <w:numPr>
          <w:ilvl w:val="0"/>
          <w:numId w:val="1"/>
        </w:numPr>
        <w:spacing w:after="240" w:line="276" w:lineRule="auto"/>
        <w:jc w:val="both"/>
        <w:rPr>
          <w:rFonts w:eastAsia="Times New Roman" w:cs="Times New Roman"/>
          <w:b/>
          <w:szCs w:val="24"/>
        </w:rPr>
      </w:pPr>
      <w:r w:rsidRPr="00E6040D">
        <w:rPr>
          <w:rFonts w:eastAsia="Times New Roman" w:cs="Times New Roman"/>
          <w:b/>
          <w:szCs w:val="24"/>
        </w:rPr>
        <w:t>Procedure</w:t>
      </w:r>
    </w:p>
    <w:p w:rsidR="00AA5CC7" w:rsidRDefault="00A64DD6" w:rsidP="00E77A1B">
      <w:pPr>
        <w:spacing w:after="240"/>
        <w:ind w:left="360"/>
        <w:jc w:val="both"/>
        <w:rPr>
          <w:rFonts w:eastAsia="Calibri" w:cs="Times New Roman"/>
        </w:rPr>
      </w:pPr>
      <w:r w:rsidRPr="00E77A1B">
        <w:rPr>
          <w:rFonts w:eastAsia="Calibri" w:cs="Times New Roman"/>
        </w:rPr>
        <w:t>When</w:t>
      </w:r>
      <w:r>
        <w:rPr>
          <w:rFonts w:eastAsia="Calibri" w:cs="Times New Roman"/>
          <w:i/>
        </w:rPr>
        <w:t xml:space="preserve"> </w:t>
      </w:r>
      <w:r>
        <w:rPr>
          <w:rFonts w:eastAsia="Calibri" w:cs="Times New Roman"/>
        </w:rPr>
        <w:t xml:space="preserve">using or disclosing health information for </w:t>
      </w:r>
      <w:r w:rsidR="00A00DE4">
        <w:rPr>
          <w:rFonts w:eastAsia="Calibri" w:cs="Times New Roman"/>
        </w:rPr>
        <w:t>Health Care O</w:t>
      </w:r>
      <w:r>
        <w:rPr>
          <w:rFonts w:eastAsia="Calibri" w:cs="Times New Roman"/>
        </w:rPr>
        <w:t xml:space="preserve">perations purposes, </w:t>
      </w:r>
      <w:r w:rsidR="00AA5CC7" w:rsidRPr="00C32AE7">
        <w:rPr>
          <w:rFonts w:eastAsia="Calibri" w:cs="Times New Roman"/>
        </w:rPr>
        <w:t>[</w:t>
      </w:r>
      <w:r w:rsidR="00AA5CC7" w:rsidRPr="00E6040D">
        <w:rPr>
          <w:rFonts w:eastAsia="Calibri" w:cs="Times New Roman"/>
          <w:i/>
        </w:rPr>
        <w:t>Organization</w:t>
      </w:r>
      <w:r w:rsidR="00AA5CC7" w:rsidRPr="00C32AE7">
        <w:rPr>
          <w:rFonts w:eastAsia="Calibri" w:cs="Times New Roman"/>
        </w:rPr>
        <w:t>]</w:t>
      </w:r>
      <w:r w:rsidR="00AA5CC7" w:rsidRPr="00E6040D">
        <w:rPr>
          <w:rFonts w:eastAsia="Calibri" w:cs="Times New Roman"/>
          <w:i/>
        </w:rPr>
        <w:t xml:space="preserve"> </w:t>
      </w:r>
      <w:r w:rsidR="00AA5CC7" w:rsidRPr="00E6040D">
        <w:rPr>
          <w:rFonts w:eastAsia="Calibri" w:cs="Times New Roman"/>
        </w:rPr>
        <w:t xml:space="preserve">and its workforce </w:t>
      </w:r>
      <w:r w:rsidR="000067E4">
        <w:rPr>
          <w:rFonts w:eastAsia="Calibri" w:cs="Times New Roman"/>
        </w:rPr>
        <w:t>shall</w:t>
      </w:r>
      <w:r>
        <w:rPr>
          <w:rFonts w:eastAsia="Calibri" w:cs="Times New Roman"/>
        </w:rPr>
        <w:t>:</w:t>
      </w:r>
    </w:p>
    <w:p w:rsidR="00A64DD6" w:rsidRDefault="00A64DD6" w:rsidP="00E77A1B">
      <w:pPr>
        <w:pStyle w:val="ListParagraph"/>
        <w:numPr>
          <w:ilvl w:val="0"/>
          <w:numId w:val="6"/>
        </w:numPr>
        <w:spacing w:after="240"/>
        <w:contextualSpacing w:val="0"/>
        <w:jc w:val="both"/>
        <w:rPr>
          <w:rFonts w:eastAsia="Calibri" w:cs="Times New Roman"/>
        </w:rPr>
      </w:pPr>
      <w:r>
        <w:rPr>
          <w:rFonts w:eastAsia="Calibri" w:cs="Times New Roman"/>
        </w:rPr>
        <w:lastRenderedPageBreak/>
        <w:t xml:space="preserve">Contact </w:t>
      </w:r>
      <w:r w:rsidRPr="00C32AE7">
        <w:rPr>
          <w:rFonts w:eastAsia="Calibri" w:cs="Times New Roman"/>
        </w:rPr>
        <w:t>[</w:t>
      </w:r>
      <w:r w:rsidRPr="00A64DD6">
        <w:rPr>
          <w:rFonts w:eastAsia="Calibri" w:cs="Times New Roman"/>
          <w:i/>
        </w:rPr>
        <w:t>Organization</w:t>
      </w:r>
      <w:r w:rsidRPr="00C32AE7">
        <w:rPr>
          <w:rFonts w:eastAsia="Calibri" w:cs="Times New Roman"/>
        </w:rPr>
        <w:t>]</w:t>
      </w:r>
      <w:r>
        <w:rPr>
          <w:rFonts w:eastAsia="Calibri" w:cs="Times New Roman"/>
        </w:rPr>
        <w:t xml:space="preserve">’s </w:t>
      </w:r>
      <w:r w:rsidR="007647A8">
        <w:rPr>
          <w:rFonts w:eastAsia="Calibri" w:cs="Times New Roman"/>
        </w:rPr>
        <w:t>[</w:t>
      </w:r>
      <w:r w:rsidR="007647A8" w:rsidRPr="007F4204">
        <w:rPr>
          <w:rFonts w:eastAsia="Calibri" w:cs="Times New Roman"/>
          <w:i/>
        </w:rPr>
        <w:t>c</w:t>
      </w:r>
      <w:r w:rsidRPr="007F4204">
        <w:rPr>
          <w:rFonts w:eastAsia="Calibri" w:cs="Times New Roman"/>
          <w:i/>
        </w:rPr>
        <w:t>ompliance officer</w:t>
      </w:r>
      <w:r w:rsidR="007647A8" w:rsidRPr="007F4204">
        <w:rPr>
          <w:rFonts w:eastAsia="Calibri" w:cs="Times New Roman"/>
          <w:i/>
        </w:rPr>
        <w:t>/privacy officer/other designee</w:t>
      </w:r>
      <w:r w:rsidR="007647A8">
        <w:rPr>
          <w:rFonts w:eastAsia="Calibri" w:cs="Times New Roman"/>
        </w:rPr>
        <w:t>]</w:t>
      </w:r>
      <w:r>
        <w:rPr>
          <w:rFonts w:eastAsia="Calibri" w:cs="Times New Roman"/>
        </w:rPr>
        <w:t xml:space="preserve"> to confirm that such ta</w:t>
      </w:r>
      <w:r w:rsidR="00A00DE4">
        <w:rPr>
          <w:rFonts w:eastAsia="Calibri" w:cs="Times New Roman"/>
        </w:rPr>
        <w:t>sks and activities qualify as “Health Care O</w:t>
      </w:r>
      <w:r>
        <w:rPr>
          <w:rFonts w:eastAsia="Calibri" w:cs="Times New Roman"/>
        </w:rPr>
        <w:t xml:space="preserve">perations”; </w:t>
      </w:r>
    </w:p>
    <w:p w:rsidR="00A64DD6" w:rsidRDefault="00A64DD6" w:rsidP="00E77A1B">
      <w:pPr>
        <w:pStyle w:val="ListParagraph"/>
        <w:numPr>
          <w:ilvl w:val="0"/>
          <w:numId w:val="6"/>
        </w:numPr>
        <w:spacing w:after="240"/>
        <w:contextualSpacing w:val="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Ensure the patient has acknowledged and consented to </w:t>
      </w:r>
      <w:r w:rsidRPr="00C32AE7">
        <w:rPr>
          <w:rFonts w:eastAsia="Calibri" w:cs="Times New Roman"/>
        </w:rPr>
        <w:t>[</w:t>
      </w:r>
      <w:r w:rsidRPr="00A64DD6">
        <w:rPr>
          <w:rFonts w:eastAsia="Calibri" w:cs="Times New Roman"/>
          <w:i/>
        </w:rPr>
        <w:t>Organization</w:t>
      </w:r>
      <w:r w:rsidRPr="00C32AE7">
        <w:rPr>
          <w:rFonts w:eastAsia="Calibri" w:cs="Times New Roman"/>
        </w:rPr>
        <w:t>]</w:t>
      </w:r>
      <w:r>
        <w:rPr>
          <w:rFonts w:eastAsia="Calibri" w:cs="Times New Roman"/>
        </w:rPr>
        <w:t xml:space="preserve">’s Notice of Privacy Practices; if </w:t>
      </w:r>
      <w:r w:rsidR="000067E4">
        <w:rPr>
          <w:rFonts w:eastAsia="Calibri" w:cs="Times New Roman"/>
        </w:rPr>
        <w:t>the patient</w:t>
      </w:r>
      <w:r>
        <w:rPr>
          <w:rFonts w:eastAsia="Calibri" w:cs="Times New Roman"/>
        </w:rPr>
        <w:t xml:space="preserve"> has not, obt</w:t>
      </w:r>
      <w:r w:rsidR="000067E4">
        <w:rPr>
          <w:rFonts w:eastAsia="Calibri" w:cs="Times New Roman"/>
        </w:rPr>
        <w:t>ain signed and dated consent</w:t>
      </w:r>
      <w:r>
        <w:rPr>
          <w:rFonts w:eastAsia="Calibri" w:cs="Times New Roman"/>
        </w:rPr>
        <w:t>;</w:t>
      </w:r>
      <w:r w:rsidR="000067E4">
        <w:rPr>
          <w:rFonts w:eastAsia="Calibri" w:cs="Times New Roman"/>
        </w:rPr>
        <w:t xml:space="preserve"> and</w:t>
      </w:r>
    </w:p>
    <w:p w:rsidR="00A64DD6" w:rsidRDefault="00A64DD6" w:rsidP="00E77A1B">
      <w:pPr>
        <w:pStyle w:val="ListParagraph"/>
        <w:numPr>
          <w:ilvl w:val="0"/>
          <w:numId w:val="6"/>
        </w:numPr>
        <w:spacing w:after="240"/>
        <w:contextualSpacing w:val="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Determine whether the purpose is for </w:t>
      </w:r>
      <w:r w:rsidRPr="00C32AE7">
        <w:rPr>
          <w:rFonts w:eastAsia="Calibri" w:cs="Times New Roman"/>
        </w:rPr>
        <w:t>[</w:t>
      </w:r>
      <w:r w:rsidRPr="00A64DD6">
        <w:rPr>
          <w:rFonts w:eastAsia="Calibri" w:cs="Times New Roman"/>
          <w:i/>
        </w:rPr>
        <w:t>Organization</w:t>
      </w:r>
      <w:r w:rsidRPr="00C32AE7">
        <w:rPr>
          <w:rFonts w:eastAsia="Calibri" w:cs="Times New Roman"/>
        </w:rPr>
        <w:t>]</w:t>
      </w:r>
      <w:r w:rsidR="00A00DE4">
        <w:rPr>
          <w:rFonts w:eastAsia="Calibri" w:cs="Times New Roman"/>
        </w:rPr>
        <w:t>’s own Health Care O</w:t>
      </w:r>
      <w:r>
        <w:rPr>
          <w:rFonts w:eastAsia="Calibri" w:cs="Times New Roman"/>
        </w:rPr>
        <w:t xml:space="preserve">perations or for the </w:t>
      </w:r>
      <w:r w:rsidR="00A00DE4">
        <w:rPr>
          <w:rFonts w:eastAsia="Calibri" w:cs="Times New Roman"/>
        </w:rPr>
        <w:t>Health Care O</w:t>
      </w:r>
      <w:r>
        <w:rPr>
          <w:rFonts w:eastAsia="Calibri" w:cs="Times New Roman"/>
        </w:rPr>
        <w:t>pera</w:t>
      </w:r>
      <w:r w:rsidR="000067E4">
        <w:rPr>
          <w:rFonts w:eastAsia="Calibri" w:cs="Times New Roman"/>
        </w:rPr>
        <w:t>tions of another covered entity.</w:t>
      </w:r>
    </w:p>
    <w:p w:rsidR="00A64DD6" w:rsidRDefault="00A64DD6" w:rsidP="00E77A1B">
      <w:pPr>
        <w:pStyle w:val="ListParagraph"/>
        <w:numPr>
          <w:ilvl w:val="1"/>
          <w:numId w:val="6"/>
        </w:numPr>
        <w:spacing w:after="240"/>
        <w:contextualSpacing w:val="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If for </w:t>
      </w:r>
      <w:r w:rsidRPr="00C32AE7">
        <w:rPr>
          <w:rFonts w:eastAsia="Calibri" w:cs="Times New Roman"/>
        </w:rPr>
        <w:t>[</w:t>
      </w:r>
      <w:r w:rsidRPr="00A64DD6">
        <w:rPr>
          <w:rFonts w:eastAsia="Calibri" w:cs="Times New Roman"/>
          <w:i/>
        </w:rPr>
        <w:t>Organization</w:t>
      </w:r>
      <w:r w:rsidRPr="00C32AE7">
        <w:rPr>
          <w:rFonts w:eastAsia="Calibri" w:cs="Times New Roman"/>
        </w:rPr>
        <w:t>]</w:t>
      </w:r>
      <w:r>
        <w:rPr>
          <w:rFonts w:eastAsia="Calibri" w:cs="Times New Roman"/>
        </w:rPr>
        <w:t>’s purposes, no further action is needed; the</w:t>
      </w:r>
      <w:r w:rsidR="000067E4">
        <w:rPr>
          <w:rFonts w:eastAsia="Calibri" w:cs="Times New Roman"/>
        </w:rPr>
        <w:t xml:space="preserve"> use or disclosure is permitted.</w:t>
      </w:r>
    </w:p>
    <w:p w:rsidR="00A64DD6" w:rsidRPr="00A64DD6" w:rsidRDefault="00A64DD6" w:rsidP="00E77A1B">
      <w:pPr>
        <w:pStyle w:val="ListParagraph"/>
        <w:numPr>
          <w:ilvl w:val="1"/>
          <w:numId w:val="6"/>
        </w:numPr>
        <w:spacing w:after="240"/>
        <w:contextualSpacing w:val="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If for the </w:t>
      </w:r>
      <w:r w:rsidR="00A00DE4">
        <w:rPr>
          <w:rFonts w:eastAsia="Calibri" w:cs="Times New Roman"/>
        </w:rPr>
        <w:t>Health Care Operations</w:t>
      </w:r>
      <w:r>
        <w:rPr>
          <w:rFonts w:eastAsia="Calibri" w:cs="Times New Roman"/>
        </w:rPr>
        <w:t xml:space="preserve"> of another covered entity; </w:t>
      </w:r>
      <w:r w:rsidR="000067E4">
        <w:rPr>
          <w:rFonts w:eastAsia="Calibri" w:cs="Times New Roman"/>
        </w:rPr>
        <w:t>comply with one of the three permitted circumstances listed above.</w:t>
      </w:r>
      <w:r>
        <w:rPr>
          <w:rFonts w:eastAsia="Calibri" w:cs="Times New Roman"/>
        </w:rPr>
        <w:t xml:space="preserve"> </w:t>
      </w:r>
    </w:p>
    <w:p w:rsidR="00BD46DE" w:rsidRPr="00092C46" w:rsidRDefault="00BD46DE" w:rsidP="00E77A1B">
      <w:pPr>
        <w:jc w:val="both"/>
        <w:rPr>
          <w:rFonts w:cs="Times New Roman"/>
        </w:rPr>
      </w:pPr>
    </w:p>
    <w:sectPr w:rsidR="00BD46DE" w:rsidRPr="00092C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203" w:rsidRDefault="00555203" w:rsidP="00BC67AC">
      <w:r>
        <w:separator/>
      </w:r>
    </w:p>
  </w:endnote>
  <w:endnote w:type="continuationSeparator" w:id="0">
    <w:p w:rsidR="00555203" w:rsidRDefault="00555203" w:rsidP="00BC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640" w:rsidRDefault="008C0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3432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2C46" w:rsidRDefault="00092C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17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2C46" w:rsidRDefault="00092C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640" w:rsidRDefault="008C06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203" w:rsidRDefault="00555203" w:rsidP="00BC67AC">
      <w:r>
        <w:separator/>
      </w:r>
    </w:p>
  </w:footnote>
  <w:footnote w:type="continuationSeparator" w:id="0">
    <w:p w:rsidR="00555203" w:rsidRDefault="00555203" w:rsidP="00BC6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640" w:rsidRDefault="008C06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7AC" w:rsidRDefault="00BC67AC" w:rsidP="00BC67AC">
    <w:pPr>
      <w:pStyle w:val="Header"/>
      <w:jc w:val="center"/>
    </w:pPr>
    <w:r>
      <w:t>[Enter Organization Logo]</w:t>
    </w:r>
  </w:p>
  <w:p w:rsidR="00BC67AC" w:rsidRDefault="00BC67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640" w:rsidRDefault="008C06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4944"/>
    <w:multiLevelType w:val="multilevel"/>
    <w:tmpl w:val="2CD8E02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370F6E62"/>
    <w:multiLevelType w:val="hybridMultilevel"/>
    <w:tmpl w:val="CC3253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959F5"/>
    <w:multiLevelType w:val="hybridMultilevel"/>
    <w:tmpl w:val="9AFA11BE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65AB1637"/>
    <w:multiLevelType w:val="hybridMultilevel"/>
    <w:tmpl w:val="FFBA49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D5D59"/>
    <w:multiLevelType w:val="hybridMultilevel"/>
    <w:tmpl w:val="0D469868"/>
    <w:lvl w:ilvl="0" w:tplc="737E081A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3E21E5"/>
    <w:multiLevelType w:val="hybridMultilevel"/>
    <w:tmpl w:val="54A6E3F8"/>
    <w:lvl w:ilvl="0" w:tplc="5074DB1C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PLegacyTrailerRemoved" w:val="False"/>
    <w:docVar w:name="zzmp10LastTrailerInserted" w:val="^`~#mp!@&gt;⌇I#E└┫817xŚmÎH⌒ƒG⌔…è⌇p(:⌟áTÑ´^,d!_¨⌠:IG]Sá⌝@4ÏéyÑ‭(%․ð,ÊCqÉ„⌒xÆ⌜rt⌎CïøÙ&gt;æ¹⌙®i⌂6R¯ñxr@±\6»„⌈q*eú»mï‚ýW9S(⌌p5Õ³Â5^ôr,?⌑i⌅ì??•*iƃÊ‟°5:°î-Ø;[\;6`_011"/>
    <w:docVar w:name="zzmp10LastTrailerInserted_4347" w:val="^`~#mp!@&gt;⌇I#E└┫817xŚmÎH⌒ƒG⌔…è⌇p(:⌟áTÑ´^,d!_¨⌠:IG]Sá⌝@4ÏéyÑ‭(%․ð,ÊCqÉ„⌒xÆ⌜rt⌎CïøÙ&gt;æ¹⌙®i⌂6R¯ñxr@±\6»„⌈q*eú»mï‚ýW9S(⌌p5Õ³Â5^ôr,?⌑i⌅ì??•*iƃÊ‟°5:°î-Ø;[\;6`_011"/>
    <w:docVar w:name="zzmp10mSEGsValidated" w:val="1"/>
  </w:docVars>
  <w:rsids>
    <w:rsidRoot w:val="00BC67AC"/>
    <w:rsid w:val="000067E4"/>
    <w:rsid w:val="00042E16"/>
    <w:rsid w:val="00092C46"/>
    <w:rsid w:val="00103D14"/>
    <w:rsid w:val="004B61D9"/>
    <w:rsid w:val="00555203"/>
    <w:rsid w:val="005875BE"/>
    <w:rsid w:val="007647A8"/>
    <w:rsid w:val="007958A5"/>
    <w:rsid w:val="007B0DF3"/>
    <w:rsid w:val="007C5434"/>
    <w:rsid w:val="007F4204"/>
    <w:rsid w:val="0089604E"/>
    <w:rsid w:val="008A028C"/>
    <w:rsid w:val="008C0640"/>
    <w:rsid w:val="00A00DE4"/>
    <w:rsid w:val="00A64DD6"/>
    <w:rsid w:val="00AA5CC7"/>
    <w:rsid w:val="00AD17AF"/>
    <w:rsid w:val="00B95D07"/>
    <w:rsid w:val="00BC67AC"/>
    <w:rsid w:val="00BD46DE"/>
    <w:rsid w:val="00C32AE7"/>
    <w:rsid w:val="00C332C9"/>
    <w:rsid w:val="00D136E2"/>
    <w:rsid w:val="00DE6624"/>
    <w:rsid w:val="00E77A1B"/>
    <w:rsid w:val="00EC4620"/>
    <w:rsid w:val="00F16C92"/>
    <w:rsid w:val="00F33D31"/>
    <w:rsid w:val="00F4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7A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7A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C6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7AC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5C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5CC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5CC7"/>
    <w:rPr>
      <w:vertAlign w:val="superscript"/>
    </w:rPr>
  </w:style>
  <w:style w:type="paragraph" w:styleId="ListParagraph">
    <w:name w:val="List Paragraph"/>
    <w:basedOn w:val="Normal"/>
    <w:uiPriority w:val="34"/>
    <w:qFormat/>
    <w:rsid w:val="00F33D31"/>
    <w:pPr>
      <w:ind w:left="720"/>
      <w:contextualSpacing/>
    </w:pPr>
  </w:style>
  <w:style w:type="paragraph" w:customStyle="1" w:styleId="MacPacTrailer">
    <w:name w:val="MacPac Trailer"/>
    <w:rsid w:val="00BD46DE"/>
    <w:pPr>
      <w:widowControl w:val="0"/>
      <w:spacing w:after="0" w:line="200" w:lineRule="exact"/>
    </w:pPr>
    <w:rPr>
      <w:rFonts w:ascii="Times New Roman" w:eastAsia="Times New Roman" w:hAnsi="Times New Roman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6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6D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D46D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7A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7A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C6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7AC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5C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5CC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5CC7"/>
    <w:rPr>
      <w:vertAlign w:val="superscript"/>
    </w:rPr>
  </w:style>
  <w:style w:type="paragraph" w:styleId="ListParagraph">
    <w:name w:val="List Paragraph"/>
    <w:basedOn w:val="Normal"/>
    <w:uiPriority w:val="34"/>
    <w:qFormat/>
    <w:rsid w:val="00F33D31"/>
    <w:pPr>
      <w:ind w:left="720"/>
      <w:contextualSpacing/>
    </w:pPr>
  </w:style>
  <w:style w:type="paragraph" w:customStyle="1" w:styleId="MacPacTrailer">
    <w:name w:val="MacPac Trailer"/>
    <w:rsid w:val="00BD46DE"/>
    <w:pPr>
      <w:widowControl w:val="0"/>
      <w:spacing w:after="0" w:line="200" w:lineRule="exact"/>
    </w:pPr>
    <w:rPr>
      <w:rFonts w:ascii="Times New Roman" w:eastAsia="Times New Roman" w:hAnsi="Times New Roman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6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6D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D46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7CD15D2E.dotm</Template>
  <TotalTime>1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Gray Plant Mooty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Reiland, Julia C.</dc:creator>
  <cp:lastModifiedBy>Johnson, Aly A.</cp:lastModifiedBy>
  <cp:revision>2</cp:revision>
  <dcterms:created xsi:type="dcterms:W3CDTF">2017-11-15T17:07:00Z</dcterms:created>
  <dcterms:modified xsi:type="dcterms:W3CDTF">2017-11-15T17:07:00Z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9471b97b-8b89-4d6c-82d1-12a22a54efc1</vt:lpwstr>
  </property>
</Properties>
</file>